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RR.2012.219 vom 9. Oktober 2012</w:t>
      </w:r>
    </w:p>
    <w:p>
      <w:r>
        <w:t>Bundesstrafgericht, 2012-10-09, DE</w:t>
      </w:r>
    </w:p>
    <w:p>
      <w:r>
        <w:rPr>
          <w:b/>
        </w:rPr>
        <w:t xml:space="preserve">Quelle: </w:t>
      </w:r>
      <w:r>
        <w:t>https://mcp.opencaselaw.ch/entscheid/bstger_RR.2012.219</w:t>
      </w:r>
    </w:p>
    <w:p>
      <w:r>
        <w:t>FR: TPF RR.2012.219 du 9 octobre 2012</w:t>
      </w:r>
    </w:p>
    <w:p>
      <w:r>
        <w:t>IT: TPF RR.2012.219 del 9 ottobre 2012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Juli 2012 an die Staatsanwaltschaft des Kantons St. Gallen gelangten und dabei um Einvernahme des Arbeitgebers von A. bzw. der dafür zuständigen Per- son bei der B. AG in U. ersuchten (act. 2);</w:t>
      </w:r>
    </w:p>
    <w:p>
      <w:r>
        <w:t>- die schweizerische Behörde dem Rechtshilfeersuchen in der Folge entsprach und das Untersuchungsamt Altstätten mit Schlussverfügung vom 3. September 2012 die Herausgabe des Protokolls der betreffenden Zeugenein- vernahme mit den dazugehörigen handschriftlichen Antworten samt der Kopien des Passes der Zeugin sowie je eines Blattes mit einer Einkommensübersicht und den entschuldigten Fehlzeiten verfügte (act. 2);</w:t>
      </w:r>
    </w:p>
    <w:p>
      <w:r>
        <w:t>- gegen diese Schlussverfügung A. mit Beschwerde vom 12. September 2012 an die Beschwerdekammer des Bundesstrafgerichts gelangte (act. 1);</w:t>
      </w:r>
    </w:p>
    <w:p>
      <w:r>
        <w:t>- der Beschwerdeführer mit Schreiben vom 13. September 2012 aufgefordert wur- de, bis zum 24. September 2012 einen Kostenvorschuss von Fr. 4'000.-- zu leis- ten (act. 4);</w:t>
      </w:r>
    </w:p>
    <w:p>
      <w:r>
        <w:t>- der Beschwerdeführer mit Schreiben vom 19. September 2012 mitgeteilt hat, dass er seine Beschwerde zurückziehe (act. 5);</w:t>
      </w:r>
    </w:p>
    <w:p>
      <w:r>
        <w:t>- das Beschwerdeverfahren daher zufolge Rückzugs der Beschwerde als erledigt abzuschreiben ist;</w:t>
      </w:r>
    </w:p>
    <w:p>
      <w:r>
        <w:t>- der Beschwerdeführer, der seine Beschwerde zurückzieht, grundsätzlich als un- terliegende Partei zu gelten und folglich gemäss Art. 63 Abs. 1 VwVG i.V.m. Art. 39 Abs. 2 lit. b und Art. 37 Abs. 2 lit. a StBOG die Gerichtskosten zu tragen hat (Entscheide des Bundesstrafgerichts RR.2007.4 vom 6. März 2007 und RR.2007.70 vom 30. Mai 2007);</w:t>
      </w:r>
    </w:p>
    <w:p>
      <w:r>
        <w:t>- die Gerichtsgebühr vorliegend auf Fr. 300.-- anzusetzen ist (vgl. Art. 8 Abs. 3 des Reglements des Bundesstrafgerichts vom 31. August 2010 über die Kosten, Ge- bühren und Entschädigungen in Bundesstrafverfahren; SR 173.713.162).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