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RR.2012.201 vom 3. April 2013</w:t>
      </w:r>
    </w:p>
    <w:p>
      <w:r>
        <w:t>Bundesstrafgericht, 2013-04-03, DE</w:t>
      </w:r>
    </w:p>
    <w:p>
      <w:r>
        <w:rPr>
          <w:b/>
        </w:rPr>
        <w:t xml:space="preserve">Quelle: </w:t>
      </w:r>
      <w:r>
        <w:t>https://mcp.opencaselaw.ch/entscheid/bstger_RR.2012.201</w:t>
      </w:r>
    </w:p>
    <w:p>
      <w:r>
        <w:t>FR: TPF RR.2012.201 du 3 avril 2013</w:t>
      </w:r>
    </w:p>
    <w:p>
      <w:r>
        <w:t>IT: TPF RR.2012.201 del 3 aprile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w:t>
      </w:r>
    </w:p>
    <w:p>
      <w:r>
        <w:t>- 7 -</w:t>
      </w:r>
    </w:p>
    <w:p>
      <w:r>
        <w:t>Recht gilt nach dem Günstigkeitsprinzip auch dann, wenn dieses geringere Anforderungen an die Rechtshilfe stellt (BGE 137 IV 33 E: 2.2.2; BGE 136 IV 82 E. 3.1; 129 II 462 E. 1.1 S. 464, m.w.H.). Vorbehalten bleibt die Wah- rung der Menschenrechte (BGE 135 IV 212 E. 2.3; 123 II 595 E. 7c).</w:t>
      </w:r>
    </w:p>
    <w:p>
      <w:r>
        <w:rPr>
          <w:b/>
        </w:rPr>
        <w:t>E. 2.1</w:t>
      </w:r>
    </w:p>
    <w:p>
      <w:r>
        <w:t>Beim angefochtenen Entscheid handelt es sich um eine Schlussverfügung der ausführenden kantonalen Behörde, welche zusammen mit der voran- gehenden Zwischenverfügung der Beschwerde an die Beschwerdekammer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17. August 2012 gegen die Schlussverfügung der Beschwerdegegenerin vom 17. Juli 2012 wurde vorliegend rechtzeitig im Sinne von Art. 80k IRSG erhoben.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Eigentümer oder Mieter, der im Besitz der sichergestellten Unterlagen war (Art. 9a lit. b IRSV; TPF 2007 79 E. 1.6 S. 82; 136 E. 3.1 und 3.3). Das Gleiche gilt nach der Rechtsprechung für Personen, gegen die unmittelbar Zwangsmassnahmen angeordnet wurden (BGE 137 IV 134 E: 5.2.2; 128 II 211 E. 2.3-2.5 S. 217 ff.; 123 II 153 E. 2b S. 157, je mit Hinweisen). Folg- lich ist beispielsweise der Verfasser von Schriftstücken, welche im Besitz eines Dritten beschlagnahmt werden, nicht zur Beschwerde befugt (BGE 130 II 162 E. 1.1 S. 164; 123 II 161 E. 1d S. 164 f.; 116 Ib 106 E. 2a S. 109 ff.). Auch der Auftraggeber ist nicht beschwerdelegitimiert, wenn es um die Herausgabe von ihn betreffenden Unterlagen geht, welche beim Beauftragten, z.B. einem Treuhänder, sichergestellt wurden (BGE 122 II 130 E. 2b S. 133). Das gilt auch für Personen, auf welche sich die Unterla- gen beziehen oder die Eigentümer sind, sofern sie nicht selbst im Besitz der betroffenen Unterlagen waren und sich nicht der Hausdurchsuchung unterziehen mussten (Entscheide des Bundesstrafgerichts RR.2009.13 vom 16. März 2009, E. 2.2-2.3; RR.2007.101 vom 12. Juli 2007, E. 2.1).</w:t>
      </w:r>
    </w:p>
    <w:p>
      <w:r>
        <w:t>- 8 -</w:t>
      </w:r>
    </w:p>
    <w:p>
      <w:r>
        <w:rPr>
          <w:b/>
        </w:rPr>
        <w:t>E. 2.3</w:t>
      </w:r>
    </w:p>
    <w:p>
      <w:r>
        <w:t>Mit der Schlussverfügung vom 17. Juli 2012 sollen die anlässlich der Haus- durchsuchungen vom 2. März 2011 beim Beschwerdeführer 1, Z., und der Beschwerdeführerin 5, Y., beschlagnahmten Dokumente sowie eine Fest- platte Nr. 1, auf der elektronische Dokumente gespeichert sind, herausge- geben werden (Verfahrensakten Reg. 14 pag. 264 ff.). Der Beschwerdefüh- rer 1 ist somit in Bezug auf die in seinen Büroräumlichkeiten und die Be- schwerdeführerin 5 hinsichtlich der bei ihr beschlagnahmten bzw. gespie- gelten Dokumente beschwerdelegitimiert. Anlässlich der Hausdurchsu- chung beim Beschwerdeführer 1 wurden auch Dokumente der Beschwer- deführerinnen 3 und 4 beschlagnahmt. Da der an der Hausdurchsuchung anwesende Beschwerdeführer 1 zu jenem Zeitpunkt als einzelzeichnungs- berechtigter Verwaltungsrat der Beschwerdeführerinnen 3 und 4 fungierte (vgl. die Auszüge aus dem Handelsregister des Kantons Thurgau vom 28. Januar 2013, act. 19 und 20), er aufgrund seiner organrechtlichen Stel- lung Zugang zu den betreffenden Unterlagen hatte und diese als Organ der Beschwerdeführerinnen 3 und 4 herausgeben konnte, sind auch die Be- schwerdeführerinnen 3 und 4 von der Beschlagnahme und der Edition un- mittelbar berührt und in diesem Umfang beschwerdelegitimiert (vgl. Verfah- rensakten Reg. 1 pag. 3; act. 19/1-2). Hingegen ist die Beschwerdelegiti- mation der Beschwerdeführerin 2 zu verneinen. Zwar wurden an der Haus- durchsuchung in den Büroräumlichkeiten der Beschwerdeführerin 5 auch Dokumente betreffend die Beschwerdeführerin 2 beschlagnahmt. Anwe- send an der Hausdurchsuchung war einzig G., Geschäftsführer und Inha- ber der Beschwerdeführerin 5 sowie Treuhänder der Beschwerdeführerin 2 (Verfahrensakten Reg. 1 pag. 5). Letztere war durch die Rechtshilfemass- nahme daher nur mittelbar betroffen, sodass auf ihre Beschwerde nicht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t>- 9 -</w:t>
      </w:r>
    </w:p>
    <w:p>
      <w:r>
        <w:rPr>
          <w:b/>
        </w:rPr>
        <w:t>E. 4.1</w:t>
      </w:r>
    </w:p>
    <w:p>
      <w:r>
        <w:t>Die Beschwerdeführer machten in einem ersten Punkt vorsorglich geltend, das Landgericht Mannheim sei bereits im Besitze der auf der Festplatte Nr. 1 anlässlich der Hausdurchsuchung beim Beschwerdeführer 1 gespie- gelten und gespeicherten Daten. Dies, obwohl die Schlussverfügung vom 17. Juli 2012 noch nicht in Rechtskraft erwachsen sei. Die bereits heraus- gegebenen Daten seien daher zurückzufordern, und es sei ein Beweisver- wertungsverbot auszusprechen (act. 1 S. 5 ff.). In diesem Zusammenhang liessen die Beschwerdeführer dem Gericht ein Schreiben der Beschwerde- gegnerin an die Staatsanwaltschaft Mannheim vom 18. April 2012 zukom- men, mit welchem jene den deutschen Behörden "die anlässlich der Haus- durchsuchung bei der H. GmbH in Y. im Verfahren betreffend F. […] auf der Festplatte 1 gesicherten Daten" zusandte (act. 1.8). Ausserdem reich- ten sie ein Schreiben der Landespolizeidirektion Baden-Württemberg vom</w:t>
      </w:r>
    </w:p>
    <w:p>
      <w:r>
        <w:rPr>
          <w:b/>
        </w:rPr>
        <w:t>E. 4.2</w:t>
      </w:r>
    </w:p>
    <w:p>
      <w:r>
        <w:t>Vor diesem Hintergrund hat die Beschwerdekammer – wie bereits unter G. und L. supra ausgeführt – die Beschwerdegegnerin mit den Zwischenent- scheiden vom 5. Oktober 2012 und 30. Januar 2013 angewiesen, bei der ersuchenden Behörde abzuklären, ob sich auf der bereits der Staatsan- waltschaft Mannheim zugestellten Festplatte Nr. 1 Dokumente befänden, die gemäss Dispositiv Ziff. 2 der Schlussverfügung vom 17. Juli 2012 erst herauszugeben wären (RP.2012.57 act. 5 und 8). Die Staatsanwaltschaft Mannheim konnte in der Folge nicht ausschliessen, dass sich auf der den deutschen Behörden bereits ausgehändigten Festplatte Nr. 1 Daten befin- den, die anlässlich der Hausdurchsuchung vom 2. März 2011 gespiegelt worden seien (act. 23.1). Damit ist der Verdacht, die Staatsanwaltschaft Mannheim sowie das Landgericht Mannheim seien bereits in Besitz von Daten, die gemäss Schlussverfügung vom 17. Juli 2012 erst nach Eintritt der Rechtskraft hätten herausgegeben werden dürfen, nicht ausgeräumt. Zwar hatte die Staatsanwaltschaft Mannheim ausgeführt, dass weder sie noch die Landespolizeidirektion Freiburg die auf der Festplatte enthaltenen Daten bis zur rechtskräftigen Erledigung des Rechtshilfeverfahrens als Be- weismittel verwenden würden (act. 10.1). Eine explizite Zusicherung, die betreffenden Daten im gesamten deutschen Strafverfahren gegen den Be- schwerdeführer 1 nicht als Beweismittel zu verwenden, erfolgte jedoch nicht. Nach dem im Rechtshilfeverkehr geltenden Vertrauensgrundsatz wird das völkerrechtskonforme Verhalten von Staaten, die – wie Deutschland –</w:t>
      </w:r>
    </w:p>
    <w:p>
      <w:r>
        <w:t>- 10 -</w:t>
      </w:r>
    </w:p>
    <w:p>
      <w:r>
        <w:t>mit der Schweiz durch einen Rechtshilfevertrag verbunden sind, jedoch vermutet, ohne dass eine entsprechende Zusicherung einzuholen wäre (vgl. Urteil des Bundesgerichts 1C_408/2007 vom 21. Dezember 2007, E. 2.2). Konkrete Anhaltspunkte dafür, dass Deutschland die wahrschein- lich bereits erhaltenen Daten, welche erst nach Eintritt der Rechtskraft der Schlussverfügung vom 17. Juli 2012 hätten herausgegeben werden dür- fen, im Verfahren gegen den Beschwerdeführer 1 bereits verwendet, sind nicht ersichtlich. Im Übrigen ist davon auszugehen, dass dem Beschwerde- führer 1 in Deutschland selbst im Falle einer Verwendung unrechtmässig erhaltener Beweismittel ein umfassender Rechtschutz im Strafverfahren zustehen würde. Auf die Rückforderung der bereits herausgegebenen Da- ten, wie von den Beschwerdeführern beantragt, kann daher verzichtet wer- den. Dies vor allem deshalb, weil – wie den folgenden Erwägungen zu ent- nehmen sein wird – die materiellen Voraussetzungen für die Gewährung der Rechtshilfe erfüllt sind. Dem Umstand, dass die Beschwerdegegnerin höchstwahrscheinlich bereits Daten an den ersuchenden Staat herausge- geben hat, die erst nach Eintritt der Rechtskraft der Schlussverfügung vom 17. Juli 2012 hätten herausgegeben werden dürfen, kann bei der Bemes- sung der Gerichtsgebühr Rechnung getragen werden (siehe E. 8).</w:t>
      </w:r>
    </w:p>
    <w:p>
      <w:r>
        <w:t>5. 5.1 Die Beschwerdeführer rügen sodann das Fehlen des Rechtshilfeerforder- nisses der doppelten Strafbarkeit. Der Sachverhaltsschilderung im Rechts- hilfeersuchen lasse sich nicht entnehmen, worin die vom Beschwerdefüh- rer 1 vorgenommene Irreführung bestanden haben und welche Person irregeführt worden sein soll. Die Beschwerdegegnerin äussere sich sodann nicht zur Frage, ob das dem Beschwerdeführer 1 vorgeworfene Verhalten nach schweizerischem Recht unter die Privatbestechung im Sinne von Art. 23 i.V.m. Art. 4a UWG zu subsumieren sei (act. 1 S. 14 f.).</w:t>
      </w:r>
    </w:p>
    <w:p>
      <w:r>
        <w:t>5.2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w:t>
      </w:r>
    </w:p>
    <w:p>
      <w:r>
        <w:t>- 11 -</w:t>
      </w:r>
    </w:p>
    <w:p>
      <w:r>
        <w:t>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t>5.3 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w:t>
      </w:r>
    </w:p>
    <w:p>
      <w:r>
        <w:t>- 12 -</w:t>
      </w:r>
    </w:p>
    <w:p>
      <w:r>
        <w:t>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von der ersuchenden Behörde dar- gelegte Sachverhalt unter eine Strafbestimmung des schweizerischen Rechts subsumiert werden kann. 5.4 Den Beschlüssen des Amtsgerichts Konstanz vom 15. November 2010,</w:t>
      </w:r>
    </w:p>
    <w:p>
      <w:r>
        <w:rPr>
          <w:b/>
        </w:rPr>
        <w:t>E. 9</w:t>
      </w:r>
    </w:p>
    <w:p>
      <w:r>
        <w:t>August 2012 an das Landgericht Mannheim ein, dem zu entnehmen ist, dass die von der Beschwerdegegnerin den deutschen Behörden zugestell- te Festplatte Nr. 1 sowohl die im Verfahren gegen den Beschwerdeführer 1 wie auch die im Verfahren gegen F. gespiegelten Daten enthielt ("Die Fest- platte unterteilt sich in die Bereiche 1. 9 A. und 2. 10 F."; act. 1.9).</w:t>
      </w:r>
    </w:p>
    <w:p>
      <w:r>
        <w:rPr>
          <w:b/>
        </w:rPr>
        <w:t>E. 13</w:t>
      </w:r>
    </w:p>
    <w:p>
      <w:r>
        <w:t>Januar und 2. März 2011, welche den Rechtshilfeersuchen beiliegen, ist folgender Sachverhalt zu entnehmen: Der Zweckverband I., eine Tier- körperbeseitigungsanlage, habe die Firma J. mit der Betreuung und dem Ausbau der regenerativen Energieerzeugung beauftragt. Diesbezüglich ha- be der Beschwerdeführer 1 als Geschäftsführer der J. vermutlich im Früh- jahr 2010 mehrere Aufträge mit einem Gesamtauftragswert von ca. EUR 470'000.-- zu einem völlig überhöhten Preis an die Firma H. GmbH, deren Geschäftsführer F. gewesen sei, vergeben. Um eine ord- nungsgemässe Ausschreibung vorzutäuschen, hätten der Beschwerdefüh- rer 1 und F. die Verantwortlichen der Firmen K. GmbH, L. GmbH und M. dazu veranlasst, von F. gefertigte Schutzangebote einzureichen. Als Ge- genleistung habe der Beschwerdeführer 1 für die Vergabe der Aufträge ei- ne Provision von ca. EUR 100'000.-- erhalten. Ebenfalls vermutlich im Frühjahr 2010 habe der Beschwerdeführer 1 in sei- ner Funktion als Betreuer und Verantwortlicher für den Ausbau bei der I. Verträge mit der N. GmbH für eine Auftragssumme von ca. EUR 500'000.-- abgeschlossen, obwohl das tatsächliche Auftragsvolumen lediglich etwa EUR 150'000.-- betragen habe. F. habe in Absprache mit dem Beschwer- deführer 1 und dem Geschäftsführer der N. GmbH im Rahmen der Aus- schreibung ein Schutzangebot zu einem völlig überhöhten Festpreis abge- geben, um eine ordnungsmässe Submission vorzutäuschen und eine Ver-</w:t>
      </w:r>
    </w:p>
    <w:p>
      <w:r>
        <w:t>- 13 -</w:t>
      </w:r>
    </w:p>
    <w:p>
      <w:r>
        <w:t>gabe des Auftrages an die N. GmbH zu erreichen. Der Beschwerdeführer 1 habe sich dafür einen derzeit unbekannten Geldbetrag ausbezahlen lassen (Verfahrensakten Reg. 2 pag. 59 ff.; 90 ff.; 102 ff.). 5.5 5.5.1 In der Schweiz ist die Strafbarkeit der Privatbestechung in Art. 23 i.V.m. Art. 4a UWG geregelt.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 nicht gebührende Vorteile sind vertraglich vom Dritten ge- nehmigte sowie geringfügige, sozial übliche Vorteile (Art. 4a Abs. 2 UWG). Wer vorsätzlich unlauteren Wettbewerb nach Art. 4a UWG begeht, wird auf Antrag mit Freiheitsstrafe von bis zu drei Jahren oder Geldstrafe bestraft (Art. 23 Abs. 1 UWG). 5.5.2 Die Sachdarstellung in den Rechtshilfeersuchen genügt den gesetzlichen Anforderungen von Art. 14 Ziff. 2 EUeR, sodass die von der ersuchenden Behörde angeführten Angaben die Prüfung der doppelten Strafbarkeit ohne weiteres erlauben. Alle Tatbestandsmerkmale der Privatbestechung im Sinne von Art. 23 i.V.m. Art. 4a Abs. 1 lit. b UWG sind im Einzelnen dem oben geschilderten Sachverhalt zu entnehmen: Der Beschwerdeführer 1 soll als Geschäftsführer der J. in seiner Funktion als Beauftragter der I von der Firma H. GmbH und der N. GmbH unberechtigterweise Geldleistungen gefordert und im Gegenzug die Absicherung von Lieferaufträgen zugesi- chert haben. Damit ist das Rechtshilfeerfordernis der doppelten Strafbarkeit gegeben, ohne dass zu prüfen wäre, ob andere Tatbestände in Frage kommen könnten (vgl. Urteil des Bundesgerichts 1C_138/2007 vom 17. Ju- li 2007, E. 2.3.1).</w:t>
      </w:r>
    </w:p>
    <w:p>
      <w:r>
        <w:t>Entgegen der Ansicht der Beschwerdeführer spielt sodann keine Rolle, ob in Deutschland rechtzeitig ein Strafantrag gestellt worden ist, da gemäss § 301 Abs. 1 des deutschen Strafgesetzbuches (dStGB) die Bestechlichkeit und Bestechung im geschäftlichen Verkehr nach § 299 dStGB bei Vorlie- gen eines besonderen öffentlichen Interesses an der Strafverfolgung auch von Amtes wegen verfolgt werden kann. Gemäss der Rechtsprechung des Bundesgerichts ist zudem der Strafantrag lediglich eine Prozessvorausset- zung (BGE 105 IV 229, E. 1; 98 IV 143 E. 2; 97 IV 257 E. 5a), sodass er für die Frage der doppelten Strafbarkeit an sich unbeachtlich ist (HEIMGART- NER, Auslieferungsrecht, Zürich/Basel/Genf 2002, S. 89; RIEDO/ FIOLKA/NIGGLI, Strafprozessrecht sowie Rechtshilfe in Strafsachen, Basel</w:t>
      </w:r>
    </w:p>
    <w:p>
      <w:r>
        <w:t>- 14 -</w:t>
      </w:r>
    </w:p>
    <w:p>
      <w:r>
        <w:t>2011, N 3404; a.M. POPP, Grundzüge der internationalen Rechtshilfe in Strafsachen, Basel 2001, N 273) und zudem die Einhaltung einer allfälligen Strafantragsfrist nur verfahrenstechnischer Natur ist (CAPUS, Strafrecht und Souveränität: Das Erfordernis der beidseitigen Strafbarkeit in der internati- onalen Rechtshilfe in Strafsachen, Bern 2010, S. 467 f.).</w:t>
      </w:r>
    </w:p>
    <w:p>
      <w:r>
        <w:t>6. 6.1 Die Beschwerdeführer machen schliesslich eine Verletzung des Verhält- nismässigkeitsprinzips geltend. Sie führen aus, es werde in der Schlussver- fügung nicht dargelegt, inwiefern die Unterlagen in den Ordnern 11-12, 13,</w:t>
      </w:r>
    </w:p>
    <w:p>
      <w:r>
        <w:rPr>
          <w:b/>
        </w:rPr>
        <w:t>E. 14</w:t>
      </w:r>
    </w:p>
    <w:p>
      <w:r>
        <w:t>und 15 potentiell erheblich sein sollten. Dasselbe gelte für die Unterla- gen, welche Gesellschaften betreffen würden, die weder im ursprünglichen Rechtshilfeersuchen noch im Nachtragsersuchen genannt würden (Be- schwerdeführerin 4, zuvor O. Company), nämlich Ordner 16-17, 18 und 19. Ferner würden sich auf dem bei der Beschwerdeführerin 5 sichergestellten USB-Stick (in Plastik 14) Daten von Gesellschaften befinden, die keinen Zusammenhang zum untersuchten Vorgang aufweisen würden. Dasselbe gelte für die auf dem Datenträger 1 gespeicherten Daten von Gesellschaf- ten, die für das ausländische Verfahren unerheblich seien. Diese Daten seien vor einer allfälligen Herausgabe unkenntlich zu machen (act. 1 S. 16 f.).</w:t>
      </w:r>
    </w:p>
    <w:p>
      <w:r>
        <w:t>6.2 Rechtshilfemassnahmen haben generell dem Prinzip der Verhältnismäs- sigkeit zu genügen (ZIMMERMANN, La coopération judiciaire internationale en matière pénale, 3.A., Bern/Brüssel 2009,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Da der 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w:t>
      </w:r>
    </w:p>
    <w:p>
      <w:r>
        <w:t>- 15 -</w:t>
      </w:r>
    </w:p>
    <w:p>
      <w:r>
        <w:t>sig ist es, den ausländischen Behörden nur diejenigen Unterlagen zu über- lassen, die den im Rechtshilfeersuchen festgestellten Sachverhalt mit Si- cherheit beweisen. Den ausländischen Strafverfolgungsbehörden obliegt es dann, aus den möglicherweise erheblichen Akten denjenigen auszuschei- den, welche für die den Beschuldigten vorgeworfenen Taten beweisrele- vant sind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w:t>
      </w:r>
    </w:p>
    <w:p>
      <w:r>
        <w:t>Die ersuchte Rechtshilfebehörde muss aufzeigen, dass zwischen den von der Rechtshilfe betroffenen Unterlagen und dem Gegenstand der Strafun- tersuchung ein ausreichender Sachzusammenhang besteht und diejenigen Akten ausscheiden, die für das ausländische Strafverfahren mit Sicherheit nicht erheblich sind (BGE 122 II 367 E. 2c S. 371). Der von der Rechtshil- femassnahme Betroffene hat allerdings die Obliegenheit, schon im Stadium der Ausführung des Ersuchens (bzw. der erstinstanzlichen Rechtshilfever- fügung) an der sachgerechten Ausscheidung beschlagnahmter Dokumente nötigenfalls mitzuwirken, allfällige Einwände gegen die Weiterleitung ein- zelner Aktenstücke (bzw. Passagen daraus), welche für die Strafuntersu- chung offensichtlich entbehrlich sind, im Rahmen seiner Parteirechte ge- genüber der ausführenden Behörde rechtzeitig und konkret darzulegen und diese Einwände auch ausreichend zu begründen (BGE 130 II 14 E. 4.3 S. 16; 126 II 258 E. 9b/aa S. 262; Urteil des Bundesgerichts 1A.223/2006 vom 2. April 2007, E. 4.1 sowie 1A.184/2004 vom 22. April 2005, E. 3.1).</w:t>
      </w:r>
    </w:p>
    <w:p>
      <w:r>
        <w:t>6.3 Die herauszugebenden Ordner 11 bis 12 und 13 betreffen die J. und ent- halten die Kreditoren- und Debitorenlisten für die Jahre 2007 und 2009 so- wie eine Zusammenstellung der Barauslagen des Beschwerdeführers 1 für das Jahr 2009 (vgl. Verfahrensakten Reg. 9 pag. 166). Wie bereits er- wähnt, soll der Beschwerdeführer 1 als Geschäftsführer der J. zu einem nicht genau bestimmten Zeitpunkt, vermutlich im Frühling 2010, mehrere Aufträge zu einem überhöhten Preis an die Firmen H. GmbH und N. GmbH vergeben haben und dafür Provisionen in der Höhe von ca. EUR 100'000.-- bzw. in unbekannter Höhe erhalten zu haben. Die deutschen Behörden ge- hen offenbar davon aus, dass der Beschwerdeführer 1 mit fingierten Rech- nungen die Provisionen einforderte. In diesem Zusammenhang führen sie aus, dass eine Auswertung der bei der Durchsuchung der Firma N. GmbH aufgefundenen Rechnungen der Beschwerdeführerin 2 ergeben habe, dass diese dem (weiteren) Beschuldigten P. im Zeitraum von Juli 2009 bis Ju-</w:t>
      </w:r>
    </w:p>
    <w:p>
      <w:r>
        <w:t>- 16 -</w:t>
      </w:r>
    </w:p>
    <w:p>
      <w:r>
        <w:t>ni 2010 insgesamt 12 Rechnungen über einen Gesamtbetrag von ca. EUR 170'000.-- gestellt habe. Es bestehe der Verdacht, dass es sich bei diesem Betrag um die anteilsmässige Provision handle (Verfahrensakten Reg. 2 pag. 104). Für die deutschen Strafverfolgungsbehörden können da- her auch die Buchhaltungsunterlagen der J. bereits aus dem Jahre 2009 bzw. 2007 aufschlussreich sein, um den gesuchten Rückfluss der anteili- gen Bestechungsgelder zu ermitteln.</w:t>
      </w:r>
    </w:p>
    <w:p>
      <w:r>
        <w:t>Der Beschwerdeführer 1 sei bis zum Jahre 2009 Geschäftsführer der Be- schwerdeführerin 2 gewesen. Die derzeitige Geschäftsführerin der Be- schwerdeführerin 2, Q., sei über mehrere Konten der J. verfügungsberech- tigt gewesen, sodass der Verdacht nahestehe, dass Q. als Strohfrau für den Beschwerdeführer 1 fungiert habe bzw. fungiere (Verfahrensakten Reg. 2 pag. 104). Damit ist auch gesagt, dass die Buchhaltungsunterlagen der "R. AG" – so der bis zum Juli 2009 geltende Name der Beschwerdefüh- rerin 2 – für die deutschen Behörden von potentieller Erheblichkeit sind (vgl. Ordner 20). Da sodann Q. einzelzeichnungsberechtigte Verwaltungs- rätin der Beschwerdeführerin 4 mit Sitz an der Geschäftsadresse des Be- schwerdeführers 1 ist (act. 20), können auch die Geschäftsunterlagen der Beschwerdeführerin 4 bzw. der O. Company (so der frühere Name der Be- schwerdeführerin 4) – wie Darlehensverträge und ein Kaufvertrag über eine Residenz in X. und Aktienzertifikate (Ordner 18, 19, 20 und 15 bis 16) den deutschen Behörden von Nutzen sein, um sich ein genaueres Bild der mutmasslich deliktischen Tätigkeit und der zeitlichen Abläufe zu machen. Entgegen der Ansicht der Beschwerdeführer ist in Bezug auf die anlässlich der Hausdurchsuchung bei der Beschwerdeführerin 5 sichergestellten, auf dem USB-Stick gespeicherten Kundendaten der Beschwerdeführerinnen 2, 3 und 4, der S. AG sowie der T. GmbH die potentielle Erheblichkeit nicht von vornherein abzusprechen, da ein Zusammenhang mit den deliktischen Tätigkeiten des Beschwerdeführers 1 nicht auszuschliessen ist. Dies zumal es sich bei den letzteren beiden Firmen um im Jahre 2007 bzw. 2009 ge- gründete juristische Personen handelt, deren einzelzeichnungsberechtigter Verwaltungsrat der Beschwerdeführer 1 bzw. deren Gesellschafter und Geschäftsführer der Beschwerdeführer 1 und Q. sind (vgl. die Auszüge aus dem Handelsregister des Kantons Thurgau vom 28. Januar 2013, act. 21 und 22). Aus diesem Grund ist auch der pauschal erhobene Antrag, die auf der Festplatte 1 gespeicherten Daten betreffend die Beschwerdeführerin 4 und die T. GmbH seien zu schwärzen, ohne weiteres abzuweisen.</w:t>
      </w:r>
    </w:p>
    <w:p>
      <w:r>
        <w:t>7. Nach dem Gesagten ist die Beschwerde daher vollumfänglich abzuweisen, soweit darauf einzutreten ist.</w:t>
      </w:r>
    </w:p>
    <w:p>
      <w:r>
        <w:t>- 17 -</w:t>
      </w:r>
    </w:p>
    <w:p>
      <w:r>
        <w:t>8. Bei diesem Ausgang des Verfahrens werden die Beschwerdeführer kos- tenpflichtig (Art. 63 Abs. 1 VwVG i.V.m. Art. 39 Abs. 2 lit. b StBOG). Für die Berechnung der Gerichtsgebühr gelangt gemäss Art. 63 Abs. 5 VwVG das Reglement des Bundesstrafgericht über die Kosten, Gebühren und Ent- schädigungen in Bundesstrafverfahren (BStKR) vom 31. August 2010 zur Anwendung. Unter Berücksichtigung aller Umstände (vgl. insbesondere oben 4.2) ist die gesamthafte Gerichtsgebühr vorliegend auf Fr. 8'000.-- festzusetzen und den Beschwerdeführern unter solidarischer Haftung, je zu gleichen Teilen aufzuerlegen, unter Anrechnung des entsprechenden Be- trags am geleisteten Kostenvorschuss von Fr. 10'000.-- (Art. 5 und 8 Abs. 3 BStKR). Die Bundesstrafgerichtskasse ist anzuweisen, den Beschwerde- führern den Restbetrag von Fr. 2'000.--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