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RR.2012.198 vom 16. Januar 2013</w:t>
      </w:r>
    </w:p>
    <w:p>
      <w:r>
        <w:t>Bundesstrafgericht, 2013-01-16, FR</w:t>
      </w:r>
    </w:p>
    <w:p>
      <w:r>
        <w:rPr>
          <w:b/>
        </w:rPr>
        <w:t xml:space="preserve">Quelle: </w:t>
      </w:r>
      <w:r>
        <w:t>https://mcp.opencaselaw.ch/entscheid/bstger_RR.2012.198</w:t>
      </w:r>
    </w:p>
    <w:p>
      <w:r>
        <w:t>FR: TPF RR.2012.198 du 16 janvier 2013</w:t>
      </w:r>
    </w:p>
    <w:p>
      <w:r>
        <w:t>IT: TPF RR.2012.198 del 16 gennaio 2013</w:t>
      </w:r>
    </w:p>
    <w:p>
      <w:pPr>
        <w:pStyle w:val="Heading2"/>
      </w:pPr>
      <w:r>
        <w:t>Regeste</w:t>
      </w:r>
    </w:p>
    <w:p>
      <w:r>
        <w:t>Extradition à la République du Kosovo. Décision d'extradition (art. 55 EIMP); assistance judiciaire (art. 65 al. 1 et 2 PA).</w:t>
      </w:r>
    </w:p>
    <w:p>
      <w:pPr>
        <w:pStyle w:val="Heading2"/>
      </w:pPr>
      <w:r>
        <w:t>Erwägungen</w:t>
      </w:r>
    </w:p>
    <w:p>
      <w:r>
        <w:rPr>
          <w:b/>
        </w:rPr>
        <w:t>E. 1.1</w:t>
      </w:r>
    </w:p>
    <w:p>
      <w:r>
        <w:t>Bien que le Kosovo ait acquis l'indépendance de la Serbie en date du 17 février 2008, la jurisprudence a déjà eu l'occasion de préciser que l'ex- tradition entre la Suisse et la République du Kosovo est régie par la CEExtr, entrée en vigueur le 20 mars 1967 pour la Suisse et le 29 décem- bre 2002 pour la Serbie, par le Protocole additionnel à la CEExtr (RS 0.353.11) conclu le 15 octobre 1975, entré en vigueur le 9 juin 1985 pour la Suisse et le 21 septembre 2003 pour la Serbie, ainsi que par le deuxième Protocole additionnel à la CEExtr (RS 0.353.12) conclu le 17 mars 1978, entré en vigueur le 9 juin 1985 pour la Suisse et le 21 sep- tembre 2003 pour la Serbie (arrêt du Tribunal pénal fédéral du 4 avril 2011 RR.2010.233, consid. 1; TPF 2008 61, consid. 1.5). Pour le surplus, l’EIMP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137 IV 33 consid. 2.2.2; 136 IV 82 consid. 3.1; 122 II 140 consid. 2 et les arrêts cités). Le respect des droits fondamentaux est réservé (ATF 135 IV 212 consid. 2.3; 123 II 595 consid. 7c).</w:t>
      </w:r>
    </w:p>
    <w:p>
      <w:r>
        <w:rPr>
          <w:b/>
        </w:rPr>
        <w:t>E. 1.2</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118 Ib 269 consid. 2d). En tant que personne visée par la décision d'extra- dition le recourant est manifestement habilité à recourir. Déposé dans les délais, le recours est recevable.</w:t>
      </w:r>
    </w:p>
    <w:p>
      <w:r>
        <w:rPr>
          <w:b/>
        </w:rPr>
        <w:t>E. 2</w:t>
      </w:r>
    </w:p>
    <w:p>
      <w:r>
        <w:t>Dans son unique grief, le recourant critique l'attitude peu coopérante de l'Etat requérant. Celui-ci aurait fait preuve de réticence à renseigner les au- torités suisses au sujet du droit kosovar afférent à la prescription en omet- tant, sciemment, de produire les pièces permettant aux autorités requises de vérifier l'interruption de la prescription selon le droit de la partie requé- rante. L'extradition du recourant violerait les articles 28 et 41 EIMP. Tou- jours selon le recourant, l'attitude de l'autorité requérante s'expliquerait par le fait que l'extradition doit être refusée puisque la prescription relative au- rait été acquise aux termes du droit kosovar.</w:t>
      </w:r>
    </w:p>
    <w:p>
      <w:r>
        <w:t>- 5 -</w:t>
      </w:r>
    </w:p>
    <w:p>
      <w:r>
        <w:rPr>
          <w:b/>
        </w:rPr>
        <w:t>E. 2.1</w:t>
      </w:r>
    </w:p>
    <w:p>
      <w:r>
        <w:t>L'art. 41 EIMP s'applique à défaut d'accord indiquant expressément le type de pièces et de documents à l'appui de la requête. A teneur des art. 12 par. 2 let. b CEExtr et 28 al. 2 let. a EIMP, la demande d’extradition doit être accompagnée d’un exposé des faits pour lesquels l’extradition est de- mandée, précisant le temps, le lieu, et la qualification juridique des faits poursuivis (v. ég. art. 10 al. 2 OEIMP). L’autorité requérante n’est en re- vanche pas tenue de fournir des preuves à l’appui de ses allégations (ATF 132 II 81 consid. 2.1). Il suffit que ces dernières ne soient pas enta- chées d’invraisemblances, d’erreurs ou de lacunes manifestes, immédia- tement établies (ATF 125 II 250 consid. 5b; 118 Ib 11 consid. 5b; 117 Ib 64 consid. 5c et les arrêts cités; ég. arrêts du Tribunal fédéral 1A.17/2005 du 11 avril 2004, consid. 2.1 et 1A.26/2004 du 10 mai 2004, consid. 2.1; arrêt du Tribunal pénal fédéral RR.2010.246 du 22 décembre 2010, consid. 7.2). Selon la jurisprudence, il n'y a pas lieu de se montrer trop exigeant quant aux conditions formelles de la demande, les indications fournies par l'Etat requérant devant simplement suffire pour vérifier que la demande n'est pas d'emblée inadmissible.</w:t>
      </w:r>
    </w:p>
    <w:p>
      <w:r>
        <w:rPr>
          <w:b/>
        </w:rPr>
        <w:t>E. 2.2</w:t>
      </w:r>
    </w:p>
    <w:p>
      <w:r>
        <w:t>Selon l'art. 10 CEExtr, l'extradition n'est pas accordée si la prescription de l'action ou de la peine est acquise d'après le droit soit de l'Etat requis, soit de l'Etat requérant. Selon l'art. 13 al. 1 lit. a EIMP, sont réputés produire leurs effets en Suisse, dans les procédures régies par l'EIMP, les actes in- terruptifs de prescription selon le droit de l'Etat requérant. Selon la jurispru- dence, il n'incombe pas à l'autorité requise d'examiner la validité matérielle d'un tel acte au regard du droit de l'Etat requérant, il suffit qu'il soit allégué même de manière minimale et succincte (arrêt du Tribunal fédéral 1A.184/2002 du 5 novembre 2002, consid. 3.3.2; ZIMMERMANN, La coopé- ration judiciaire internationale en matière pénale, 3è éd., Berne 2009, n° 668).</w:t>
      </w:r>
    </w:p>
    <w:p>
      <w:r>
        <w:rPr>
          <w:b/>
        </w:rPr>
        <w:t>E. 2.3</w:t>
      </w:r>
    </w:p>
    <w:p>
      <w:r>
        <w:t>Dans le cas d'espèce, l'OFJ a certes dû intervenir auprès de l'autorité re- quérante pour qu'elle complète la demande formelle d'extradition kosovare du 11 octobre et son complément du 19 décembre 2011. Une première fois, pour obtenir une disposition relative à la prescription selon le droit ko- sovar (à savoir l'art. 94 du code pénal) et, ensuite, la confirmation que la peine prononcée à l'encontre du recourant par jugement n° 196/2006 du 27 septembre 2006 de la Cour suprême du Kosovo n'était pas atteinte de prescription absolue. De telles conduites de la part de l'autorité requérante ne sont en rien critiquables. Ce qui est déterminant c'est que ladite autorité a été en mesure de fournir les informations requises par l'autorité fédérale, informations qui finalement se sont avérées parfaitement conformes aux exigences des art. 12 CEExtr et 41 EIMP. Il convient en outre de rappeler</w:t>
      </w:r>
    </w:p>
    <w:p>
      <w:r>
        <w:t>- 6 -</w:t>
      </w:r>
    </w:p>
    <w:p>
      <w:r>
        <w:t>au recourant qu'il appartient à la logique même de la coopération interna- tionale que, face à une requête encore insuffisante ou à des incompréhen- sions des autorités saisies de la demande de coopération, l'Etat requis invi- te l'autorité requérante à compléter sa demande. Ce mode de procéder se trouve codifié à l'art. 13 CEExtr (complément d'informations).</w:t>
      </w:r>
    </w:p>
    <w:p>
      <w:r>
        <w:rPr>
          <w:b/>
        </w:rPr>
        <w:t>E. 2.4</w:t>
      </w:r>
    </w:p>
    <w:p>
      <w:r>
        <w:t>En ce qui concerne la non prescription de la peine selon le droit kosovar, condition contestée par le recourant, il ressort de l'art. 92 al. 4 du code pé- nal kosovar que, pour autant qu'aucune autre disposition n'en dispose au- trement, l'exécution d'une peine de détention supérieure à 3 ans de déten- tion se prescrit par 5 ans [Artikel 92. Verjährung der Strafvollstreckung. "Soweit nicht anders vorgesehen ist, als diese Gesetze verweisen aus die- sen Artikeln, die ausgesprochene Strafe kann nicht vollgestreckt werden wenn die folgende Fristen abgelaufen sind: (….) 4. Fünf Jahre bei Taten, die im Höchstmass mit Freiheitsstrafen von mehr als drei Jahre bedroht sind, (…); (in act. 4.5 )].</w:t>
      </w:r>
    </w:p>
    <w:p>
      <w:r>
        <w:t>Au sujet du début et de l'interruption de la prescription de la peine l'art. 94 du même code établit: 1) Der Verjährungszeitraum hinsichtlich der Voll- streckung einer Strafe beginnt an dem Tag, an dem das Urteil rechtskräftig wird, (…). 2) Der Verjährungszeitraum ist unterbrochen für den Zeitraum, in dem die Vollstreckung der Strafe aufgrund gesetzlicher Vorschriften nicht eingeleitet werden kann. 3) Der Verjährungszeitraum wird unterbrochen durch jede Handlung einer zuständigen Behörde, die der Vollstreckung der Strafe dient. 4) Ein neuer Verjährungszeitraum beginnt nach jeder Unter- brechung. 5) Die Vollstreckung einer Strafe ist untersagt, wenn in einem Fall der zweifache Verjährungszeitraum verstrichen ist (absolutes Vollstre- ckungshindernis). (…). (in act. 4.15). Appliquées au cas d'espèce, ces dispositions permettent de conclure, ainsi que précisé dans la réponse de l'autorité requérante du 21 juin 2012 (act 4.23), que le jugement de la Cour suprême du 27 septembre 2006 condamnant A. à 4 ans d'emprisonnement est devenu définitif et exécutoire à cette date. Le condamné s'étant soustrait à l'exécution de la peine, il y a eu acte interruptif de prescription. Quoi qu'il en soit, comme relevé par les autorités requérantes la prescription absolue de la peine ne sera acquise qu'en date du 26 septembre 2016. Quant au droit suisse, bien que le grief ne soit pas soulevé, il convient de relever que la prescription de la peine n'est pas non plus acquise. Aux termes de l'art. 99 al. 1 let. d CP une peine privative de liberté de plus d'un an se prescrit par 15 ans .</w:t>
      </w:r>
    </w:p>
    <w:p>
      <w:r>
        <w:t>- 7 -</w:t>
      </w:r>
    </w:p>
    <w:p>
      <w:r>
        <w:rPr>
          <w:b/>
        </w:rPr>
        <w:t>E. 2.5</w:t>
      </w:r>
    </w:p>
    <w:p>
      <w:r>
        <w:t>Au vu de ce qui précède, c’est dès lors à tort que le recourant allègue une violation des art. 12 CEExtr et 41 EIMP. Il s'en suit que le grief doit être re- jeté.</w:t>
      </w:r>
    </w:p>
    <w:p>
      <w:r>
        <w:rPr>
          <w:b/>
        </w:rPr>
        <w:t>E. 3</w:t>
      </w:r>
    </w:p>
    <w:p>
      <w:r>
        <w:t>Par ces motifs, tant la conclusion principale que la conclusion subsidiaire du recourant (v. supra Faits, let. G) doivent être rejetées.</w:t>
      </w:r>
    </w:p>
    <w:p>
      <w:r>
        <w:rPr>
          <w:b/>
        </w:rPr>
        <w:t>E. 4</w:t>
      </w:r>
    </w:p>
    <w:p>
      <w:r>
        <w:t>Le recourant sollicite l’octroi de l’assistance judiciaire.</w:t>
      </w:r>
    </w:p>
    <w:p>
      <w:r>
        <w:rPr>
          <w:b/>
        </w:rPr>
        <w:t>E. 4.1</w:t>
      </w:r>
    </w:p>
    <w:p>
      <w:r>
        <w:t>La personne poursuivie peut se faire assister d’un mandataire; si elle ne peut ou ne veut y pourvoir et que la sauvegarde de ses intérêts l’exige, un mandataire d’office lui est désigné (art. 21 al. 1 EIMP). L’autorité de re- 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PA).</w:t>
      </w:r>
    </w:p>
    <w:p>
      <w:r>
        <w:rPr>
          <w:b/>
        </w:rPr>
        <w:t>E. 4.2</w:t>
      </w:r>
    </w:p>
    <w:p>
      <w:r>
        <w:t>En l'espèce, le recourant fait valoir qu'il ne dispose pas des moyens finan- ciers suffisants étant incarcéré depuis des mois en Suisse. De ce fait il ne perçoit pas de salaire et n'a point de source de revenu (RP.2012.56 act. 1). Il invoque en outre avoir des dépenses mensuelles de EUR 650.-- pour le loyer du logement qu'il partage avec son épouse. Celle-ci subvient à l'en- tretien de leur fille B., née le 14 mars 2010, à raison de EUR 4'000.-- annuels (act. 4.1). Le recourant ne précise guère de quelle activité provien- nent les ressources financières de son épouse, il ne précise pas non plus si lui ou son épouse disposent d'autres revenus ou de biens justifiant le paie- ment des frais de logement et d'entretien de sa fille B. Incomplètes, les in- formations fournies par le recourant ne permettent pas à la Cour de céans d'apprécier la condition de l'indigence. Quant aux conclusions, on rappelle- 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 pèce. La requête d'assistance judiciaire est donc rejetée.</w:t>
      </w:r>
    </w:p>
    <w:p>
      <w:r>
        <w:t>- 8 -</w:t>
      </w:r>
    </w:p>
    <w:p>
      <w:r>
        <w:rPr>
          <w:b/>
        </w:rPr>
        <w:t>E. 5</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 recourant supportera ainsi les frais du présent arrêt, lesquels sont fixés à CHF 1'000.-- (art. 73 al. 2 LOAP et art. 8 al. 3 du règlement du Tribunal pénal fédéral du 31 août 2010 sur les frais, émolu- ments, dépens, et indemnités de la procédure pénale fédérale [RFPPF; RS 173.713.162] et art. 63 al. 5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