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RR.2012.197 vom 13. Februar 2013</w:t>
      </w:r>
    </w:p>
    <w:p>
      <w:r>
        <w:t>Bundesstrafgericht, 2013-02-13, FR</w:t>
      </w:r>
    </w:p>
    <w:p>
      <w:r>
        <w:rPr>
          <w:b/>
        </w:rPr>
        <w:t xml:space="preserve">Quelle: </w:t>
      </w:r>
      <w:r>
        <w:t>https://mcp.opencaselaw.ch/entscheid/bstger_RR.2012.197</w:t>
      </w:r>
    </w:p>
    <w:p>
      <w:r>
        <w:t>FR: TPF RR.2012.197 du 13 février 2013</w:t>
      </w:r>
    </w:p>
    <w:p>
      <w:r>
        <w:t>IT: TPF RR.2012.197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w:t>
      </w:r>
    </w:p>
    <w:p>
      <w:r>
        <w:t>- 5 -</w:t>
      </w:r>
    </w:p>
    <w:p>
      <w:r>
        <w:t>[LOAP;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10 août 2012, le recours contre la décision de clôture notifiée au plus tôt le 12 juillet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Lorsque le titulaire du compte bancaire est décédé, le droit de recourir peut être exercé par l’ensemble des hoirs formant la communauté héréditaire. En effet, la communauté héréditaire comme telle n'a pas la personnalité juridique et n'a point qualité pour ester en justice (arrêt du Tribunal fédéral 1B_194/2012 du 3 août 2012, consid. 2.3). En l’espèce, A., titulaire du compte n° 1 ouvert auprès de la banque M. concerné par la décision de clôture, est décédée. L'acte de recours désigne de façon inexacte l'hoirie de feue A. en qualité de recourante en lieu en place des différents hoirs. Cependant, il ressort du dossier que les personnes composant la communauté héréditaire sont C., B. et D. (act. 1.7 et 6.1). Interpellé par la Cour de céans, le conseil des recourants a indiqué que le recours était formé par l’ensemble de ces personnes. Le vice de forme affectant l'acte de recours a ainsi été réparé.</w:t>
      </w:r>
    </w:p>
    <w:p>
      <w:r>
        <w:rPr>
          <w:b/>
        </w:rPr>
        <w:t>E. 1.5</w:t>
      </w:r>
    </w:p>
    <w:p>
      <w:r>
        <w:t>Le recours, interjeté par l’ensemble des membres de l’hoirie, est recevable. Il y a lieu d’entrer en matière.</w:t>
      </w:r>
    </w:p>
    <w:p>
      <w:r>
        <w:rPr>
          <w:b/>
        </w:rPr>
        <w:t>E. 2</w:t>
      </w:r>
    </w:p>
    <w:p>
      <w:r>
        <w:t>Par un grief d’ordre formel qu’il convient d’examiner en premier lieu, les recourants reprochent à l’autorité d’exécution d’avoir violé leur droit d’être entendus. 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w:t>
      </w:r>
    </w:p>
    <w:p>
      <w:r>
        <w:t>- 6 -</w:t>
      </w:r>
    </w:p>
    <w:p>
      <w:r>
        <w:t>sur leur résultat lorsque ceci est de nature à influer sur la décision à rendre (arrêts du Tribunal fédéral 2C_778/2012 du 19 novembre 2012, consid. 3.1; 6B_323/2012 du 11 octobre 2012, consid. 3.2; ATF 136 I 265 consid. 3.2; 135 II 286 consid. 5.1). Il comprend notamment le droit de consulter le dossier (ATF 127 V 431 consid. 3a; 126 I 7 consid. 2b) qui s'étend à toutes les pièces décisives (ATF 121 I 225 consid. 2a) et qui garantit que les parties puissent prendre connaissance des éléments fondant la décision et s'exprimer à leur sujet (arrêt du Tribunal fédéral 8C_509/2011 du 26 juin 2012, consid. 2.2; ATF 129 I 85 consid. 4.1 p. 88 et les références citées). Même si une violation du droit d’être entendu devait être constatée, elle aurait pu, en tout état de cause, être réparée dans le cadre de la procédure de recours, la Cour de céans disposant du même pouvoir d’examen que l’autorité précédente (art. 49 let. a PA, applicable par renvoi de l’art. 39 al. 2 let. b LOAP; TPF 2008 172 consid. 2.3; 2007 57 consid. 3.2; ZIMMERMANN, La coopération judiciaire internationale en matière pénale, 3ème éd., Berne 2009, n° 486 et les arrêts cités). Dans le cas d’espèce, le MPC admet ne pas avoir fourni les pièces aux recourants avant le prononcé de la décision. Les recourants ont ainsi été empêchés d’exercer leur droit d’être entendus. Cependant, ils se sont vu transmettre lesdites pièces et ont eu la possibilité d’exercer leur droit d’être entendus dans le cadre de la procédure de recours devant la Cour de céans, laquelle dispose du même pouvoir de cognition que l’autorité précédente. Partant, le grief relatif à la violation du droit d’être entendu doit être rejeté dans la mesure où cette violation a pu être réparée dans le cadre de la présente procédure. Il en sera néanmoins tenu compte dans le calcul de l’émolument.</w:t>
      </w:r>
    </w:p>
    <w:p>
      <w:r>
        <w:rPr>
          <w:b/>
        </w:rPr>
        <w:t>E. 3</w:t>
      </w:r>
    </w:p>
    <w:p>
      <w:r>
        <w:t>A l’appui de leur recours, B., C. et D. se prévalent d’une violation du principe de la double incrimination, de l’interdiction de l’entraide en matière fiscale et du principe ne bis in idem. Ils estiment en substance que les faits allégués par la demande d’entraide ne pourraient être constitutifs, en droit suisse, que d’infractions fiscales pour lesquelles l’entraide ne peut être accordée. De plus, dans la mesure où B.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 let. b), ainsi que l'inculpation et un exposé sommaire des faits (ch. 2). Ces</w:t>
      </w:r>
    </w:p>
    <w:p>
      <w:r>
        <w:t>- 7 -</w:t>
      </w:r>
    </w:p>
    <w:p>
      <w:r>
        <w:t>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D’une part, force est de constater que B. a été mis en examen en France notamment pour faux, usage de faux, corruption active et blanchiment d’argent (act. 1.16). D’autre part, l’enquête française à laquelle se réfère la</w:t>
      </w:r>
    </w:p>
    <w:p>
      <w:r>
        <w:t>- 8 -</w:t>
      </w:r>
    </w:p>
    <w:p>
      <w:r>
        <w:t>commission rogatoire ne concerne pas seulement les agissements de B., mais également ceux d’autres personnes, ce que les recourants semblent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les recourants errent lorsqu’ils concluent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rPr>
          <w:b/>
        </w:rPr>
        <w:t>E. 4</w:t>
      </w:r>
    </w:p>
    <w:p>
      <w:r>
        <w:t>Les recourants invoquent également une violation du principe de la proportionnalité et de l’interdiction des fishing expeditions. Ils prétendent que feue A. n’est ni personnellement citée ni impliquée dans les faits énoncés dans la commission rogatoire française, ce qui justifierait, d’après eux, le refus de l’entraide. De plus, ils soutiennent que l’origine des fonds présents sur le compte en question n’est pas illicite, dans la mesure où, d’une part, les versements intervenus depuis les comptes de B. ont eu lieu alors que les fonds provenant de l’opération suspectée par les autorités françaises avaient déjà été utilisés à d’autres fins, et, d’autre part, dite opération a été validée par le service compétent au sein de la banque M.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w:t>
      </w:r>
    </w:p>
    <w:p>
      <w:r>
        <w:t>- 9 -</w:t>
      </w:r>
    </w:p>
    <w:p>
      <w:r>
        <w:t>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w:t>
      </w:r>
    </w:p>
    <w:p>
      <w:r>
        <w:rPr>
          <w:b/>
        </w:rPr>
        <w:t>E. 9</w:t>
      </w:r>
    </w:p>
    <w:p>
      <w:r>
        <w:t>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w:t>
      </w:r>
    </w:p>
    <w:p>
      <w:r>
        <w:t>- 10 -</w:t>
      </w:r>
    </w:p>
    <w:p>
      <w:r>
        <w:t>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En l’espèce, la commission rogatoire a pour but explicite de permettre à l’autorité requérante "d’identifier le bénéficiaire final" d’une somme d’argent versée par la société J. dans le cadre du contexte de faits sous enquête en France et qui a été d’abord virée sur le compte de L. Ltd, société dont B. est le bénéficiaire économique, puis transférée sur le compte d’une autre société dont B. est également le bénéficiaire économique (commission rogatoire, act. 1.3 p. 4-5). Après analyse de la documentation bancaire relative aux comptes dont B. est le titulaire ou l’ayant droit économique, le MPC a constaté que le compte n° 1 dont feue A. était titulaire a été crédité, à plusieurs reprises et pour un montant total de EUR 155'200.--, par N. S.A., société dont le compte ouvert auprès de la banque M. a pour ayant droit économique B. En particulier, la somme de EUR 24'500.-- créditée par N. S.A. sur le compte n° 1 en date du 5 novembre 2011 (recte: 2008; dossier MPC-00103) pourrait provenir des fonds versés par la société J. à B. Il est certes vrai, ainsi que le relèvent les recourants, que feue A. n’est pas personnellement citée dans l’état de fait faisant l’objet de la commission rogatoire française. Néanmoins, l’argumentation des recourants ne peut</w:t>
      </w:r>
    </w:p>
    <w:p>
      <w:r>
        <w:t>- 11 -</w:t>
      </w:r>
    </w:p>
    <w:p>
      <w:r>
        <w:t>être suivie lorsqu’ils affirment que feue A. "n’est en rien concernée par la commission rogatoire". En effet, la transmission de l’intégralité des informations bancaires concernant le compte n° 1 s’inscrit dans le cadre de la commission rogatoire en tant qu’il existe un lien objectif entre ledit compte et les faits sur lesquels enquêtent les autorités françaises. Elle permet par ailleurs d’éviter une nouvelle demande d’entraide qui aurait sans doute été formulée dès la réception, par l’autorité requérante, des informations bancaires concernant les comptes de B. Finalement, la question de l’origine, licite ou non, des montants versés à B. relève de la procédure au fond et n’a pas à être analysée dans le cadre de la procédure d’entraide. Le grief tiré de la violation du principe de la proportionnalité et de l’interdiction des fishing expeditions doit être rejeté. 5. Les considérants qui précèdent conduisent au rejet du recours. 6. 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solidairement les frais du présent arrêt, lesquels se limitent à un émolument réduit au regard des circonstances relatives au respect de leur droit d’être entendus, fixé à CHF 3'000.-- (art. 73 al. 2 LOAP et art. 8 al. 3 du règlement du Tribunal pénal fédéral sur les frais, émoluments, dépens et indemnités de la procédure pénale fédérale du 31 août 2010 [RFPPF; RS 173.713.162] et art. 63 al. 5 PA) et couvert par l'avance de frais de CHF 4'000.-- déjà versée. La caisse du Tribunal pénal fédéral restituera au conseil des recourants le solde par CHF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