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RR.2012.190 vom 13. Februar 2013</w:t>
      </w:r>
    </w:p>
    <w:p>
      <w:r>
        <w:t>Bundesstrafgericht, 2013-02-13, FR</w:t>
      </w:r>
    </w:p>
    <w:p>
      <w:r>
        <w:rPr>
          <w:b/>
        </w:rPr>
        <w:t xml:space="preserve">Quelle: </w:t>
      </w:r>
      <w:r>
        <w:t>https://mcp.opencaselaw.ch/entscheid/bstger_RR.2012.190</w:t>
      </w:r>
    </w:p>
    <w:p>
      <w:r>
        <w:t>FR: TPF RR.2012.190 du 13 février 2013</w:t>
      </w:r>
    </w:p>
    <w:p>
      <w:r>
        <w:t>IT: TPF RR.2012.190 del 13 febbraio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w:t>
      </w:r>
    </w:p>
    <w:p>
      <w:r>
        <w:t>- 5 -</w:t>
      </w:r>
    </w:p>
    <w:p>
      <w:r>
        <w:t>poste suisse le 9 août 2012, le recours contre la décision de clôture notifiée au plus tôt le 12 juillet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l'espèce, le titulaire du compte n° 1 ouvert auprès de la banque K. concerné par la décision de clôture est la société A. S.A., qui dispose ainsi de la qualité pour recourir contre dite décision.</w:t>
      </w:r>
    </w:p>
    <w:p>
      <w:r>
        <w:rPr>
          <w:b/>
        </w:rPr>
        <w:t>E. 1.5</w:t>
      </w:r>
    </w:p>
    <w:p>
      <w:r>
        <w:t>Le recours est recevable, il y a lieu d’entrer en matière.</w:t>
      </w:r>
    </w:p>
    <w:p>
      <w:r>
        <w:rPr>
          <w:b/>
        </w:rPr>
        <w:t>E. 2</w:t>
      </w:r>
    </w:p>
    <w:p>
      <w:r>
        <w:t>A l’appui de son recours, A. S.A. se prévaut d’une violation du principe de la double incrimination, de l’interdiction de l’entraide en matière fiscale et du principe ne bis in idem. Elle estime en substance que les faits allégués par la demande d’entraide ne pourraient être constitutifs, en droit suisse, que d’infractions fiscales pour lesquelles l’entraide ne peut être accordée. De plus, dans la mesure où G. a fait l’objet d’une décision de contrainte de l’administration fiscale française, le principe ne bis in idem trouverait application et empêcherait l’octroi de l’entraide. 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w:t>
      </w:r>
    </w:p>
    <w:p>
      <w:r>
        <w:t>- 6 -</w:t>
      </w:r>
    </w:p>
    <w:p>
      <w:r>
        <w:t>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 remise de documents bancaires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D’une part, force est de constater que G. a été mis en examen en France notamment pour faux, usage de faux, corruption active et blanchiment d’argent (act. 1.37). D’autre part, l’enquête française à laquelle se réfère la commission rogatoire ne concerne pas seulement les agissements de G., mais également d’autres personnes, ce que la recourante semble occulter. L’état de fait décrit dans la commission rogatoire correspond de prime abord aux éléments constitutifs du recel (art. 160 CP), de l’organisation criminelle (art. 260ter CP), du blanchiment d’argent (art. 305bis CP), de la corruption active (art. 322ter CP) et passive (art. 322quinquies CP). S’agissant clairement d’infractions de droit pénal commun, la recourante erre lorsqu’elle conclut que seule une infraction fiscale peut être retenue en relation avec les faits sous enquête française. Il s’ensuit que le principe ne bis idem ne trouve pas application et ne saurait en l’espèce empêcher l’octroi de l’entraide. Le grief invoqué doit partant être rejeté.</w:t>
      </w:r>
    </w:p>
    <w:p>
      <w:r>
        <w:t>- 7 -</w:t>
      </w:r>
    </w:p>
    <w:p>
      <w:r>
        <w:rPr>
          <w:b/>
        </w:rPr>
        <w:t>E. 3</w:t>
      </w:r>
    </w:p>
    <w:p>
      <w:r>
        <w:t>La recourante invoque également une violation du principe de la proportionnalité et de l’interdiction des fishing expeditions. Elle prétend n’être ni personnellement citée ni impliquée dans les faits énoncés dans la commission rogatoire française, ce qui justifierait, d’après elle, le refus de l’entraide. De plus, elle soutient que l’origine des fonds présents sur son compte n’est pas illicite, dans la mesure où, d’une part, les versements intervenus depuis les comptes de G. ont eu lieu avant l’opération suspectée par les autorités françaises, et, d’autre part, dite opération a été validée par le service compétent au sein de la banque K.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w:t>
      </w:r>
    </w:p>
    <w:p>
      <w:r>
        <w:t>- 8 -</w:t>
      </w:r>
    </w:p>
    <w:p>
      <w:r>
        <w:t>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France.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w:t>
      </w:r>
    </w:p>
    <w:p>
      <w:r>
        <w:t>- 9 -</w:t>
      </w:r>
    </w:p>
    <w:p>
      <w:r>
        <w:t>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3ème éd., Berne 2009, n° 722). En l’espèce, la commission rogatoire a pour but explicite de permettre à l’autorité requérante "d’identifier le bénéficiaire final" d’une somme d’argent versée par la société H. dans le cadre du contexte de faits sous enquête en France et qui a été d’abord virée sur le compte de J. Ltd, société dont G. est le bénéficiaire économique, puis transférée sur le compte d’une autre société dont G. est également le bénéficiaire économique (commission rogatoire, act. 1.3 p. 4-5). Après analyse de la documentation bancaire relative aux comptes dont G. est le titulaire ou l’ayant droit économique, le MPC a constaté que le compte n° 1 dont A. S.A. est titulaire a été crédité, à plusieurs reprises, par la société L. S.A., société dont le compte ouvert auprès de la banque K. a pour ayant droit économique G. Par virements des 9 juillet 2008 et 6 avril 2009, un total de EUR 300'000.-- a été transféré depuis le compte de A. S.A. vers le compte de L. S.A. (dossier MPC-00108 et 00118). De plus, le 18 novembre 2008, un montant de EUR 200'000.-- a été viré depuis le compte de A. S.A. vers le compte d’une société M. Inc., dont l’ayant droit économique est également G. (dossier MPC-00105). Il est certes vrai, ainsi que le relève la recourante, qu’elle n’est pas personnellement citée dans l’état de fait faisant l’objet de la commission rogatoire française. Néanmoins, l’argumentation de la recourante ne peut être suivie lorsqu’elle affirme qu’elle "n’est en rien concernée par la commission rogatoire" (mémoire de recours, act. 1 p. 8). En effet, la transmission de l’intégralité des informations bancaires concernant le compte n° 1 s’inscrit dans le cadre de la commission rogatoire en tant qu’il existe un lien objectif entre ledit compte et les faits sur lesquels enquêtent les autorités françaises. Elle permet par ailleurs d’éviter une nouvelle demande d’entraide qui aurait sans doute été formulée dès la réception, par l’autorité requérante, des informations bancaires concernant les comptes de G. Finalement, la question de l’origine, licite ou non, des montants versés à G. relève de la procédure au fond et n’a pas à être analysée dans le cadre de la procédure d’entraide.</w:t>
      </w:r>
    </w:p>
    <w:p>
      <w:r>
        <w:t>- 10 -</w:t>
      </w:r>
    </w:p>
    <w:p>
      <w:r>
        <w:t>Le grief tiré de la violation du principe de la proportionnalité et de l’interdiction des fishing expeditions doit être rejeté.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se limitent à un émolument fixé à CHF 4'000.-- (art. 73 al. 2 LOAP et art. 8 al. 3 du règlement du Tribunal pénal fédéral sur les frais, émoluments, dépens et indemnités de la procédure pénale fédérale du 31 août 2010 [RFPPF; RS 173.713.162] et art. 63 al. 5 PA),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