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RR.2012.189 vom 13. Februar 2013</w:t>
      </w:r>
    </w:p>
    <w:p>
      <w:r>
        <w:t>Bundesstrafgericht, 2013-02-13, FR</w:t>
      </w:r>
    </w:p>
    <w:p>
      <w:r>
        <w:rPr>
          <w:b/>
        </w:rPr>
        <w:t xml:space="preserve">Quelle: </w:t>
      </w:r>
      <w:r>
        <w:t>https://mcp.opencaselaw.ch/entscheid/bstger_RR.2012.189</w:t>
      </w:r>
    </w:p>
    <w:p>
      <w:r>
        <w:t>FR: TPF RR.2012.189 du 13 février 2013</w:t>
      </w:r>
    </w:p>
    <w:p>
      <w:r>
        <w:t>IT: TPF RR.2012.189 del 13 febbraio 2013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w:t>
      </w:r>
    </w:p>
    <w:p>
      <w:r>
        <w:t>- 6 -</w:t>
      </w:r>
    </w:p>
    <w:p>
      <w:r>
        <w:t>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1.3.1</w:t>
      </w:r>
    </w:p>
    <w:p>
      <w:r>
        <w:t>Le délai de recours contre la décision de clôture est de 30 jours dès la communication écrite de celle-ci (art. 80k EIMP). Déposé à un bureau de poste suisse le 10 août 2012, le recours contre la décision de clôture notifiée au plus tôt le 12 juillet 2012 est intervenu en temps utile.</w:t>
      </w:r>
    </w:p>
    <w:p>
      <w:r>
        <w:rPr>
          <w:b/>
        </w:rPr>
        <w:t>E. 1.3.2</w:t>
      </w:r>
    </w:p>
    <w:p>
      <w:r>
        <w:t>a) 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b) En l'espèce, le compte n° 1 ouvert auprès de la banque K. l'a été au nom de la société A. S.A. L'instruction de la cause a permis d'établir que ladite société a été dissoute en date du 12 avril 2010, soit deux ans et quatre mois avant que le présent recours ne soit formé. Pareil constat pose la question de savoir si la procédure de dissolution, intervenue au Panama, est susceptible d'avoir une influence déterminante sur la capacité d'ester en justice de la société recourante. Il s'agit en d'autres termes de déterminer si le recours a été formé par une entité dotée de la capacité procédurale idoine. b/aa) La capacité d'ester en justice – pendant procédural de l'exercice des droits civils (arrêt du Tribunal fédéral 4A_339/2009 du 17 novembre 2009, consid. 2 non publié in ATF 135 III 614) – est la capacité dont jouit une personne de jouer un rôle actif ou passif en procédure. La notion n'est expressément réglée ni par les dispositions spécifiques du droit de l'entraide judiciaire, ni par la loi fédérale sur la procédure administrative (PA; RS 172.021), applicable par renvoi de l'art. 39 al. 2 let. b LOAP. Il est constant que cette notion doit s'examiner à l'aune des règles du droit civil</w:t>
      </w:r>
    </w:p>
    <w:p>
      <w:r>
        <w:t>- 7 -</w:t>
      </w:r>
    </w:p>
    <w:p>
      <w:r>
        <w:t>en la matière (HÄNER, in Kommentar zum Bundesgesetz über das Verwaltungsverfahren (VwVG), Auer/Müller/Schindler [éd.], Zurich/Saint- Gall 2008, n° 5 ad art. 48). La présente procédure revêt incontestablement un caractère international puisqu'elle met aux prises, d'une part, une société de droit panaméen ayant son siège au Panama, et, d'autre part, les autorités suisses compétentes en matière d'entraide judiciaire, soit l'OFJ et, sur délégation, le MPC. Comme il vient d'être vu, la question de la capacité d'ester en justice relève du droit civil. Dès l'instant où aucun traité international n'entre en ligne de compte à ce propos, cet examen devra s'opérer au regard des règles de conflit de la loi fédérale du 18 décembre 1987 sur le droit international privé (LDIP; RS 291; v. arrêts du Tribunal pénal fédéral RR.2012.160 du 10 octobre 2012, consid. 1.3.2; RR.2009.89-90 du 3 décembre 2009, consid. 2.1; ATF 135 III 614 consid. 4.1.1). S'agissant du droit applicable, l'art. 154 al. 1 LDIP dispose que les sociétés sont régies par le droit de l'Etat en vertu duquel elles sont organisées si elles répondent aux conditions de publicité ou d'enregistrement prévues par ce droit. Il ressort du dossier que la société recourante a été valablement organisée au regard des exigences du droit panaméen. C'est donc ce dernier qui s'appliquera en l'espèce. En complément à la règle énoncée, l'art. 155 LDIP prévoit que le droit applicable à la société régit notamment la nature juridique de cette dernière, sa constitution et sa dissolution, la jouissance et l'exercice des droits civils ou encore le pouvoir de représentation des personnes agissant pour cette dernière. Il s'agit donc en l'espèce de déterminer si, selon le droit panaméen, la société recourante disposait de la capacité d'ester en justice au moment où elle a déposé son recours en date du 9 août 2012. b/bb) Selon l'art. 85 de la Ley No 32 sobre sociedades anónimas (Gaceta oficial 5.067 de 16 de marzo de 1927) du 26 février 1927, "[t]oda sociedad anónima cuya existencia termina por vencimiento del período fijado en el pacto social o por disolución, continuará no obstante por el término de tres años desde esa fecha para los fines específicos de iniciar los procedimientos especiales que consideren convenientes defender sus intereses como demandada, arreglar sus asuntos, traspasar y enajenar sus bienes, y dividir su capital social, pero en ningún caso podrá continuar los negocios para los cuales fue constituida." La Cour de céans a déjà eu l’occasion de se prononcer sur cette disposition du droit panaméen (arrêt du Tribunal pénal fédéral RR.2012.160 du 10 octobre 2012, consid. 1.3.2.b/bb). Elle a considéré</w:t>
      </w:r>
    </w:p>
    <w:p>
      <w:r>
        <w:t>- 8 -</w:t>
      </w:r>
    </w:p>
    <w:p>
      <w:r>
        <w:t>qu’"une société dissoute ne perd pas automatiquement toute personnalité juridique, mais que cette dernière peut être maintenue durant la phase de liquidation et ce pour une durée de trois ans. Sous réserve du délai en question, la situation s'apparente en cela aux règles du droit suisse (v. XOUDIS, in Commentaire romand CC I, 2010, no 8 ad art. 57/58 CC; v. également, pour une application de ces principes dans le cas de recours déposés en matière d'entraide judiciaire par des sociétés suisses en liquidation, arrêts du Tribunal fédéral 1A.180/1994 du 3 novembre 1994, consid. 1b et 1A.136/1989 du 28 novembre 1989, consid. 1b). La poursuite de l'existence de la société est toutefois intimement liée à l'existence d'une phase de liquidation. Il faut en déduire qu'à partir du moment où la société en question est liquidée, elle perd en revanche toute personnalité juridique, et par voie de conséquence toute capacité d'ester, indépendamment du fait que le délai de trois ans prévu par la loi soit ou non écoulé." Il apparaît en l'espèce que, lors de l’assemblée générale extraordinaire qui s’est tenue en date du 12 avril 2010, la société A. S.A. a non seulement été dissoute, mais également liquidée (act. 12.4 p. 3).</w:t>
      </w:r>
    </w:p>
    <w:p>
      <w:r>
        <w:rPr>
          <w:b/>
        </w:rPr>
        <w:t>E. 1.4</w:t>
      </w:r>
    </w:p>
    <w:p>
      <w:r>
        <w:t>Ce constat conduit à conclure que la société A. S.A. était privée de toute personnalité au moment où elle a déposé son recours en date du 9 août 2012. L'absence de personnalité entraîne l'absence de capacité d'ester en justice. Par conséquent, le recours doit être déclaré irrecevable.</w:t>
      </w:r>
    </w:p>
    <w:p>
      <w:r>
        <w:rPr>
          <w:b/>
        </w:rPr>
        <w:t>E. 2</w:t>
      </w:r>
    </w:p>
    <w:p>
      <w:r>
        <w:t>C'est précisément pour tenir compte de ces cas de figure que, depuis une quinzaine d'années, la jurisprudence reconnaît – à certaines conditions restrictives –, la qualité pour recourir à l'ayant droit économique d'une société dissoute et liquidée (v. notamment arrêt du Tribunal fédéral 1C_183/2012 du 12 avril 2012, consid. 1.4 et les références citées). Il appartenait en l'occurrence à l'ayant droit économique de la société recourante de former le recours en son nom propre, en fournissant les éléments requis par la jurisprudence en pareille situation. Faute d'avoir été déposé par une entité disposant de la capacité pour ce faire, il ne peut être entré en matière sur le recours.</w:t>
      </w:r>
    </w:p>
    <w:p>
      <w:r>
        <w:rPr>
          <w:b/>
        </w:rPr>
        <w:t>E. 3</w:t>
      </w:r>
    </w:p>
    <w:p>
      <w:r>
        <w:t>du règlement du Tribunal pénal fédéral sur les frais, émoluments, dépens et indemnités de la procédure pénale fédérale du 31 août 2010 [RFPPF; RS 173.713.162] et art. 63 al. 5 PA), couvert par l'avance de frais de CHF 4'000.-- déjà versée. La caisse du Tribunal pénal fédéral restituera au conseil de la recourante le solde par CHF 1'000.--.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