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RR.2012.186 vom 14. Mai 2013</w:t>
      </w:r>
    </w:p>
    <w:p>
      <w:r>
        <w:t>Bundesstrafgericht, 2013-05-14, FR</w:t>
      </w:r>
    </w:p>
    <w:p>
      <w:r>
        <w:rPr>
          <w:b/>
        </w:rPr>
        <w:t xml:space="preserve">Quelle: </w:t>
      </w:r>
      <w:r>
        <w:t>https://mcp.opencaselaw.ch/entscheid/bstger_RR.2012.186</w:t>
      </w:r>
    </w:p>
    <w:p>
      <w:r>
        <w:t>FR: TPF RR.2012.186 du 14 mai 2013</w:t>
      </w:r>
    </w:p>
    <w:p>
      <w:r>
        <w:t>IT: TPF RR.2012.186 del 14 maggio 2013</w:t>
      </w:r>
    </w:p>
    <w:p>
      <w:pPr>
        <w:pStyle w:val="Heading2"/>
      </w:pPr>
      <w:r>
        <w:t>Regeste</w:t>
      </w:r>
    </w:p>
    <w:p>
      <w:r>
        <w:t>Entraide à la République française. Remise de moyens de preuve (art. 74 EIMP).</w:t>
      </w:r>
    </w:p>
    <w:p>
      <w:pPr>
        <w:pStyle w:val="Heading2"/>
      </w:pPr>
      <w:r>
        <w:t>Erwägungen</w:t>
      </w:r>
    </w:p>
    <w:p>
      <w:r>
        <w:rPr>
          <w:b/>
        </w:rPr>
        <w:t>E. 1.1</w:t>
      </w:r>
    </w:p>
    <w:p>
      <w:r>
        <w:t>L'entraide judiciaire entre la République française et la Confédération suis- se est prioritairement régie par la Convention européenne d'entraide judi- ciaire en matière pénale (CEEJ; 0.351.1), entrée en vigueur pour la Suisse le 20 mars 1967 et pour la France le 21 août 1967, ainsi que par l'Accord bilatéral complétant cette Convention (RS 0.351.934.92), conclu le 28 oc- tobre 1996 et entré en vigueur le 1 er mai 2000. S'agissant d'une demande d'entraide présentée notamment pour la répression du blanchiment d'ar- gent, entre également en considération la Convention relative au blanchi- 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(arrêt du Tribunal pénal fé- déral RR.2008.98 du 18 décembre 2008, consid. 1.3).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 troi de l'entraide à des conditions plus favorables (ATF 137 IV 33 consid. 2.2.2; 136 IV 82 consid. 3.1). Le respect des droits fondamentaux est ré- servé (ATF 135 IV 212 consid. 2.3; 123 II 595 consid. 7c p. 617).</w:t>
      </w:r>
    </w:p>
    <w:p>
      <w:r>
        <w:rPr>
          <w:b/>
        </w:rPr>
        <w:t>E. 1.2</w:t>
      </w:r>
    </w:p>
    <w:p>
      <w:r>
        <w:t>En vertu de l'art. 37 al. 2 let. a de la loi fédérale sur l'organisation des auto- rités pénales de la Confédération (LOAP; RS 173.71) mis en relation avec les art. 25 al. 1 et 80 e al. 1 EIMP et 19 al. 1 du règlement sur l'organisation du Tribunal pénal fédéral (ROTPF; RS 173.713.161), la Cour des plaintes du Tribunal pénal fédéral est compétente pour connaître des recours diri- gés contre les ordonnances de clôture de la procédure d'entraide rendues par l'autorité fédérale d'exécution.</w:t>
      </w:r>
    </w:p>
    <w:p>
      <w:r>
        <w:rPr>
          <w:b/>
        </w:rPr>
        <w:t>E. 1.3</w:t>
      </w:r>
    </w:p>
    <w:p>
      <w:r>
        <w:t>Le délai de recours contre l'ordonnance de clôture est de 30 jours dès la communication écrite de celle-ci (art. 80k EIMP). Déposé à un bureau de poste suisse le 6 août 2012, le recours contre l'ordonnance notifiée au plus tôt le 5 juillet 2012 est intervenu en temps utile.</w:t>
      </w:r>
    </w:p>
    <w:p>
      <w:r>
        <w:t>- 6 -</w:t>
      </w:r>
    </w:p>
    <w:p>
      <w:r>
        <w:rPr>
          <w:b/>
        </w:rPr>
        <w:t>E. 1.4</w:t>
      </w:r>
    </w:p>
    <w:p>
      <w:r>
        <w:t>Aux termes de l'art. 80h lit. b EIMP, a qualité pour recourir en matière d'en- traide quiconque est personnellement et directement touché par une mesu- 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(ATF 137 IV 134 consid. 5; 118 Ib 547 consid. 1d). Au regard de la jurisprudence, seule la personne qui doit se soumettre personnellement à une mesure d'entraide a la qualité pour re- courir (arrêt du Tribunal fédéral du 27 mars 2013, consid. 1.3.2). Dès lors, l'ayant droit économique d'un compte bancaire n'a pas la qualité pour re- courir contre la transmission de pièces concernant ledit compte (ATF 122 II 130 consid. 2b). Exceptionnellement, la qualité pour agir est reconnue à l'ayant droit d'une société titulaire du compte lorsque celle-ci a été dissoute, sous réserve de l'abus de droit (arrêt du Tribunal fédéral 1C_183/2012 du 12 avril 2012, consid. 1.4; ATF 123 II 153 consid. 2c et dd). La décision attaquée autorise la transmission des informations bancaires relatives au recourant, mais également celles concernant les diverses so- ciétés impliquées dans l'enquête menée par l'autorité requérante et dont il est l'ayant droit économique. Compte tenu des principes qui précèdent, A. n'est admis à recourir que contre la transmission des pièces se rapportant aux comptes bancaires ainsi qu'au coffre-fort dont il est titulaire. Pour le reste, son recours est irrecevable.</w:t>
      </w:r>
    </w:p>
    <w:p>
      <w:r>
        <w:rPr>
          <w:b/>
        </w:rPr>
        <w:t>E. 2</w:t>
      </w:r>
    </w:p>
    <w:p>
      <w:r>
        <w:t>Le recourant fait valoir que les faits décrits dans la commission rogatoire seraient insuffisants pour révéler une infraction susceptible de double- incrimination. Concernant des impôts directs, ils constitueraient tout au plus une évasion fiscale, de sorte que l'entraide serait irrecevable, le principe de la double incrimination n'étant en l'occurrence pas réalisé.</w:t>
      </w:r>
    </w:p>
    <w:p>
      <w:r>
        <w:rPr>
          <w:b/>
        </w:rPr>
        <w:t>E.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w:t>
      </w:r>
    </w:p>
    <w:p>
      <w:r>
        <w:rPr>
          <w:b/>
        </w:rPr>
        <w:t>E. 2.2</w:t>
      </w:r>
    </w:p>
    <w:p>
      <w:r>
        <w:t>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w:t>
      </w:r>
    </w:p>
    <w:p>
      <w:r>
        <w:t>- 7 -</w:t>
      </w:r>
    </w:p>
    <w:p>
      <w:r>
        <w:t>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2.3</w:t>
      </w:r>
    </w:p>
    <w:p>
      <w:r>
        <w:t>Selon l'art. 3 al. 3 EIMP, la demande d'entraide est irrecevable si la procé- dure étrangère vise un acte qui paraît tendre à diminuer les recettes fisca- les. L'entraide peut en revanche être accordée pour la répression d'une es- croquerie fiscale (lit. a). Cette limitation n'est désormais valable qu'en ma- tière d'impôts directs et non pour la TVA. En cette matière, l'entraide pénale est également octroyée en cas de soupçon de soustraction simple (art. 50 CAAS). Sous l'angle de la double incrimination, il convient d'examiner uniquement si les faits décrits dans la demande seraient réprimés en Suisse comme une escroquerie fiscale au sens qu'en donne le droit suisse (arrêt du Tribu- nal pénal fédéral RR.2008.189 du 3 novembre 2008, consid. 3.1 et la juris- prudence citée). Pour interpréter la notion d'escroquerie fiscale au sens de l'art. 3 al. 3 EIMP, il faut se référer à l'art. 14 al. 2 de la loi fédérale sur le droit pénal administratif (DPA; RS 313; applicable par renvoi de l'art. 24 al. 1 OEIMP), et non pas à l'art. 186 de la loi fédérale sur l'impôt fédéral di- rect (LIFD; RS 642.11; arrêt du Tribunal pénal fédéral RR.2009.71 du 26 août 2009, consid. 5.2 et la jurisprudence citée). Cette disposition répri- me celui qui, par une tromperie astucieuse, aura soustrait un montant im- portant représentant une contribution. Il convient en outre de s'en tenir à la définition de l'escroquerie selon l'art. 146 CP, et à la jurisprudence qui s'y rapporte (arrêt du Tribunal pénal fédéral RR.2008.240 du 20 février 2009, consid. 4.2 et la jurisprudence citée). Il y a par exemple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manœuvres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le</w:t>
      </w:r>
    </w:p>
    <w:p>
      <w:r>
        <w:t>- 8 -</w:t>
      </w:r>
    </w:p>
    <w:p>
      <w:r>
        <w:t>fisc de les contrôler, prévoit qu'un tel contrôle ne pourrait se faire sans grand peine ou mise sur un rapport de confiance (arrêt du Tribunal pénal fédéral RR.2008.307-308 du 21 avril 2009, consid. 4.2 p. 9, et la jurispru- dence citée). Celui qui recourt à un édifice de mensonges n’agit de manière astucieuse que si ces mensonges sont l’expression d’une rouerie particuliè- re et se recoupent d’une manière si subtile que même une victime faisant preuve d’un esprit critique se laisserait tromper (arrêt du Tribunal pénal fé- déral RR.2009.52 du 26 août 2009, consid. 5.1 et la jurisprudence citée). La commission d'un faux dans les titres dans le but de tromper le fisc est constitutif d'une astuce au sens de l'art. 146 CP. De même, l'utilisation d'une société étrangère destinée à recevoir des paiements constitue une escroquerie lorsque ces paiements ne figurent pas dans la comptabilité de l'entreprise débitrice de l'impôt (arrêt du Tribunal fédéral 1A.133/2000 du 24 mai 2000, consid. 3b et la référence à son arrêt non publié du 8 juillet 1998). Lorsqu'une demande est présentée pour la poursuite d'une escroquerie fis- cale en matière d'impôt direct, la Suisse en tant qu'Etat requis déroge à la règle qui veut que l'autorité d'exécution n'a pas à se déterminer sur la réali- té des faits (arrêts du Tribunal pénal fédéral RR.2011.12-20 du 11 juillet 2011; RR.2008.188 du 3 novembre 2008, consid. 3.1 et la jurisprudence ci- tée). Sans avoir à apporter des preuves indiscutables de la culpabilité de la personne poursuivie, l'Etat requérant doit faire état de soupçons suffisants qu'une escroquerie fiscale a été commise (arrêt du Tribunal pénal fédéral RR.2009.52 du 26 août 2009, consid. 5.3 et la jurisprudence citée). Ces exigences particulières ont pour but d'écarter le risque que soient éludées les normes excluant l'entraide en matière économique et fiscale (arrêt du Tribunal pénal fédéral RR.2008.208 du 8 octobre 2008, consid. 2.1 et les références citées). L'Etat requérant n'a pas à joindre nécessairement les moyens de preuve à la demande. Il suffit qu'il désigne ces moyens de preuve et en rende vraisemblable l'existence (arrêt du Tribunal pénal fédé- ral RR.2008.188 du 3 novembre 2008, consid. 3.1 et la jurisprudence ci- tée).</w:t>
      </w:r>
    </w:p>
    <w:p>
      <w:r>
        <w:rPr>
          <w:b/>
        </w:rPr>
        <w:t>E. 2.4</w:t>
      </w:r>
    </w:p>
    <w:p>
      <w:r>
        <w:t>Des éléments au dossier, il apparaît que le recourant a en l'espèce eu re- cours a différentes constructions mensongères notamment quant à la va- leur réelle des titres de la société B. Il ressort en effet du "Formulaire A" relatif à la société C., que le recourant est l'ayant droit économique de cette société (classeur MP-GE, act. 30002). Or, c'est elle qui, dans un premier temps, a acquis les actions de la société B. dont le recourant et son épouse détenaient initialement la majeure par- tie. Par ailleurs, c'est le recourant qui a, le 3 mars 2006, dix jours avant la vente des actions de la société B., versé Euro 1,5 mios - soit le montant</w:t>
      </w:r>
    </w:p>
    <w:p>
      <w:r>
        <w:t>- 9 -</w:t>
      </w:r>
    </w:p>
    <w:p>
      <w:r>
        <w:t>exact de la transaction - auprès de la banque E. à Genève sur le compte de la société C., ce qui a amené la banque à procéder à une avance ferme du même montant en faveur de cette dernière société (classeur MP-GE, act. 30036), lequel a été reversé sur le compte du recourant le même jour (classeur MP-GE, act. 20019). C'est donc exclusivement grâce au recou- rant que la société C. a pu acquérir les titres en cause. Il a ainsi, d'une cer- taine manière, conservé la mainmise sur les actions de la société B., même après leurs ventes à la société C., alors que le montage mis en place lais- sait faussement croire que les titres de la société B. étaient cédés à une entité tierce. Ces éléments remettent en outre en cause les déclarations du recourant selon lesquelles il aurait cédé la société B. à un inconnu. Par ail- leurs, le prix de vente des actions de la société B. à la société C. pour Eu- ro 1,5 mios apparaît artificiellement bas. Cet aspect est mis en exergue d'une part par les diverses offres de rachat faites aux propriétaires, dès 1999 et 2000, pour un montant d'au moins Euro 70 mios (supra let. B). Ce- la ressort d'autre part du fait que le recourant avait, dans un premier temps, refusé une offre de rachat pour les titres concernés faite par la société F. pour Euro 14 mios car il estimait qu'elle était trop faible alors que quinze jours seulement après la vente des actions de la société B. à la société C., il a, lui-même interpellé la société F. pour les lui revendre pour une somme de Euro 16 mios. Ces différents éléments font ainsi apparaître la société C. comme une société de complaisance, qui a permis notamment au recou- rant de se départir des actions de la société C. pour un prix largement infé- rieur à celui que pouvait effectivement offrir le marché. Cette construction a fait naître une vision faussée de la réalité, permettant au recourant de tromper le fisc sur ce point et en conséquence de réduire drastiquement le montant d'impôt dû. La complexité de l'édifice mis en place par le recou- rant, par ailleurs non contesté par celui-ci, était assurément propre à créer l'opacité nécessaire à abuser l'autorité fiscale. A supposer que ce modus operandi eût été réalisé en Suisse, il aurait été constitutif d'escroquerie au sens de l'art. 146 CP. Cela suffit pour que l'entraide doive être accordée.</w:t>
      </w:r>
    </w:p>
    <w:p>
      <w:r>
        <w:rPr>
          <w:b/>
        </w:rPr>
        <w:t>E. 2.5</w:t>
      </w:r>
    </w:p>
    <w:p>
      <w:r>
        <w:t>Il en découle que le grief tiré de l'absence de double incrimination doit être rejeté.</w:t>
      </w:r>
    </w:p>
    <w:p>
      <w:r>
        <w:rPr>
          <w:b/>
        </w:rPr>
        <w:t>E. 3</w:t>
      </w:r>
    </w:p>
    <w:p>
      <w:r>
        <w:t>Les considérants qui précèdent conduisent au rejet du recours.</w:t>
      </w:r>
    </w:p>
    <w:p>
      <w:r>
        <w:rPr>
          <w:b/>
        </w:rPr>
        <w:t>E. 4</w:t>
      </w:r>
    </w:p>
    <w:p>
      <w:r>
        <w:t>En règle générale, les frais de procédure comprenant l'émolument d'arrêt, les émoluments de chancellerie et les débours sont mis à la charge de la partie qui succombe (art. 63 al. 1 PA, applicable par renvoi de l'art. 39 al. 2</w:t>
      </w:r>
    </w:p>
    <w:p>
      <w:r>
        <w:t>- 10 -</w:t>
      </w:r>
    </w:p>
    <w:p>
      <w:r>
        <w:t>let. b LOAP). Le montant de l'émolument est calculé en fonction de l'am- pleur et de la difficulté de la cause. Le recourant supportera ainsi les frais du présent arrêt, réduits au regard des circonstances relatives au respect de son droit d'être entendu et fixés à CHF 4'000.-- (art. 73 al. 2 LOAP et art. 8 al. 3 du règlement du Tribunal pénal fédéral sur les frais, émolu- ments, dépens et indemnités de la procédure pénale fédérale [RFPPF; RS 173.713.162 ] et art. 63 al. 5 PA), couverts par l'avance de frais.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