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RR.2012.180 vom 15. April 2013</w:t>
      </w:r>
    </w:p>
    <w:p>
      <w:r>
        <w:t>Bundesstrafgericht, 2013-04-15, IT</w:t>
      </w:r>
    </w:p>
    <w:p>
      <w:r>
        <w:rPr>
          <w:b/>
        </w:rPr>
        <w:t xml:space="preserve">Quelle: </w:t>
      </w:r>
      <w:r>
        <w:t>https://mcp.opencaselaw.ch/entscheid/bstger_RR.2012.180</w:t>
      </w:r>
    </w:p>
    <w:p>
      <w:r>
        <w:t>FR: TPF RR.2012.180 du 15 avril 2013</w:t>
      </w:r>
    </w:p>
    <w:p>
      <w:r>
        <w:t>IT: TPF RR.2012.180 del 15 aprile 2013</w:t>
      </w:r>
    </w:p>
    <w:p>
      <w:pPr>
        <w:pStyle w:val="Heading2"/>
      </w:pPr>
      <w:r>
        <w:t>Regeste</w:t>
      </w:r>
    </w:p>
    <w:p>
      <w:r>
        <w:t>Assistenza giudiziaria internazionale in materia penale all'Italia/Trasmissione di mezzi di prova (art. 74 AIMP): legittimazione ricorsuale; principio della specialità.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w:t>
      </w:r>
    </w:p>
    <w:p>
      <w:r>
        <w:t>- 5 -</w:t>
      </w:r>
    </w:p>
    <w:p>
      <w:r>
        <w:t>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Nella sua decisione incidentale del 25 gennaio scorso (consid. 1.3), la pre- sente Corte ha già constatato l'ammissibilità del gravame presentato dall'UFG.</w:t>
      </w:r>
    </w:p>
    <w:p>
      <w:r>
        <w:rPr>
          <w:b/>
        </w:rPr>
        <w:t>E. 1.4</w:t>
      </w:r>
    </w:p>
    <w:p>
      <w:r>
        <w:t>Per quanto riguarda A., il suo ricorso è stato tempestivamente interposto contro una decisione di consegna di mezzi di prova secondo l’art. 74 AIMP, resa dall’autorità cantonale di esecuzione. I requisiti di ammissibilità di cui agli art. 80k, così come 80e cpv. 1 in relazione con l’art. 25 AIMP, sono pa- cificamente dati.</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137 IV 134 consid. 5 e 118 Ib 547 consid. 1d), così come nelle perquisizioni domiciliari questa qualità</w:t>
      </w:r>
    </w:p>
    <w:p>
      <w:r>
        <w:t>- 6 -</w:t>
      </w:r>
    </w:p>
    <w:p>
      <w:r>
        <w:t>spetta al proprietario o al locatario (v. art. 9a lett. b OAIMP). In via giuri- sprudenziale è stato altresì precisato che la legittimazione a ricorrere com- pete alla persona direttamente sottoposta a una misura coercitiva (perqui- 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consid. 5.2.1 e 122 II 130 consid. 2b e rinvii). Questo vale anche per la persona contro cui è diretto il procedimento all'estero (v. da ultimo sentenza del Tribunale federale 1C_189/2013 del 27 marzo 2013, consid. 1.3.2 e rin- vii), motivo per cui, nella fattispecie, la legittimazione del ricorrente è esclu- sivamente data in considerazione del fatto che il rapporto EFIN contiene in- formazioni di tipo bancario, fornite rogatorialmente dal Lussemburgo alla Svizzera, la cui comunicazione all'estero equivale ad una trasmissione di documenti concernenti una relazione bancaria di cui il ricorrente è titolare. Come precisato nella TPF 2007 79 consid. 1.6.3, in questi casi il titolare del conto, pur non essendo direttamente sottoposto ad un interrogatorio o ad una perquisizione rogatoriale, è comunque legittimato a ricorrere (v. anche sentenza del Tribunale penale federale RR.2007.45 del 4 giugno 2007, consid. 1.6.2 e rinvii).</w:t>
      </w:r>
    </w:p>
    <w:p>
      <w:r>
        <w:rPr>
          <w:b/>
        </w:rPr>
        <w:t>E. 2</w:t>
      </w:r>
    </w:p>
    <w:p>
      <w:r>
        <w:t>I ricorrenti sostengono che la trasmissione del rapporto EFIN all'Italia viola il principio della specialità nei confronti del Lussemburgo. Tale atto conter- rebbe informazioni provenienti direttamente dalla documentazione bancaria inviata dalle autorità lussemburghesi alla Svizzera in esecuzione di una ro- gatoria, per cui il suo invio alle autorità italiane equivarrebbe alla trasmis- sione della documentazione bancaria stessa.</w:t>
      </w:r>
    </w:p>
    <w:p>
      <w:r>
        <w:rPr>
          <w:b/>
        </w:rPr>
        <w:t>E. 2.1</w:t>
      </w:r>
    </w:p>
    <w:p>
      <w:r>
        <w:t>Nella misura in cui un'eventuale violazione del principio della specialità non toccherebbe soltanto le relazioni tra la Svizzera ed il Lussemburgo ma an- che gli interessi stessi del ricorrente in quanto titolare del conto, sia l'UFG che A. sono abilitati a prevalersi di questa censura (v. sentenza 1A.5/2007 del 25 gennaio 2008, consid. 2.4 e rinvii). In questo senso l'UFG non può essere seguito laddove sostiene l'inammissibilità del ricorso di A. alla luce della DTF 125 II 356 consid. 3b/bb e della sentenza del Tribunale federale 1A.184/2000 del 1° settembre 2000, consid. 3.2, visto che questi non ha in- vocato detto principio nel puro interesse della legge o di terzi, ma diretta- mente per i suoi personali interessi, ovverosia per impedire che informazio- ni bancarie che lo riguardano arrivino in Italia.</w:t>
      </w:r>
    </w:p>
    <w:p>
      <w:r>
        <w:rPr>
          <w:b/>
        </w:rPr>
        <w:t>E. 2.2</w:t>
      </w:r>
    </w:p>
    <w:p>
      <w:r>
        <w:t>In base all'art. 30 cpv. 3 AIMP, in caso di rogatorie formulate dal nostro Pa- ese, le condizioni cui lo Stato richiesto subordina l'esecuzione della do-</w:t>
      </w:r>
    </w:p>
    <w:p>
      <w:r>
        <w:t>- 7 -</w:t>
      </w:r>
    </w:p>
    <w:p>
      <w:r>
        <w:t>manda devono essere osservate dalle autorità svizzere. Come giustamente sottolineato dall'UFG, questa regola è espressione della massima del diritto internazionale "pacta sunt servanda" (v. art. 26 Convenzione di Vienna sul diritto dei trattati; RS 0.111; ROBERT ZIMMERMANN, La coopération judiciaire internationale en matière pénale, 3a ediz., Berna 2009, pag. 426 nota 1718).</w:t>
      </w:r>
    </w:p>
    <w:p>
      <w:r>
        <w:rPr>
          <w:b/>
        </w:rPr>
        <w:t>E. 2.3</w:t>
      </w:r>
    </w:p>
    <w:p>
      <w:r>
        <w:t>Nella fattispecie, va rilevato che le autorità lussemburghesi, inoltrando la documentazione richiesta dal Ministero pubblico ticinese con la sua rogato- ria, hanno espressamente dichiarato che "les renseignements fournis et le documents saisis dans le cadre de la présente commission rogatoire ne peuvent être utilisés ni aux fins d'investigations, ni aux fins de leur produc- tion comme moyen de preuve dans une procédure pénale ou administrative autre que celle pour laquelle l'entraide a été accordée" (v. act. 2.2). Orbe- ne, il rapporto EFIN contiene all'evidenza informazioni provenienti diretta- mente dalla documentazione bancaria inoltrata dal Lussemburgo. Un suo invio alle autorità italiane, senza l'autorizzazione del predetto Stato, avreb- be senz'altro violato l'obbligo della Svizzera di rispettare gli impegni presi con gli Stati esteri. Orbene, interpellate all'uopo dal Ministero pubblico tici- nese (v. act. 19.1), le autorità lussemburghesi, con scritto del 14 febbraio scorso (v. act. 20.1), hanno dichiarato che le autorità italiane, per ottenere le informazioni ricercate, devono inoltrare al Lussemburgo una rogatoria e presentare un preciso esposto dei fatti, in maniera da permettere allo Stato richiesto di verificare il rispetto del principio della doppia punibilità. Ciò im- plica quindi il loro dissenso alla trasmissione del rapporto EFIN all'Italia, nella misura in cui, come si è visto (v. supra consid. 1.4), esso contiene in- formazioni di tipo bancario fornite dal Lussemburgo alla Svizzera. Tale rap- porto non può dunque essere trasmesso all'autorità rogante, per cui le rela- tive censure ricorsuali vanno accolte.</w:t>
      </w:r>
    </w:p>
    <w:p>
      <w:r>
        <w:rPr>
          <w:b/>
        </w:rPr>
        <w:t>E. 3</w:t>
      </w:r>
    </w:p>
    <w:p>
      <w:r>
        <w:t>In conclusione, i gravami dei ricorrenti devono essere accolti.</w:t>
      </w:r>
    </w:p>
    <w:p>
      <w:r>
        <w:rPr>
          <w:b/>
        </w:rPr>
        <w:t>E. 4</w:t>
      </w:r>
    </w:p>
    <w:p>
      <w:r>
        <w:t>Visto l'esito della procedura, non si riscuote tassa di giustizia (art. 63 cpv. 2 PA richiamato l'art. 39 cpv. 2 lett. b LOAP).</w:t>
      </w:r>
    </w:p>
    <w:p>
      <w:r>
        <w:t>Giusta l'art. 64 cpv. 1 PA, richiamato l'art. 39 cpv. 2 lett. b LOAP, l'autorità di ricorso, se ammette il ricorso in tutto o in parte, può, d'ufficio o a doman- da, assegnare al ricorrente una indennità per le spese indispensabili e rela- tivamente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necessario, impiegato</w:t>
      </w:r>
    </w:p>
    <w:p>
      <w:r>
        <w:t>- 8 -</w:t>
      </w:r>
    </w:p>
    <w:p>
      <w:r>
        <w:t>dall'avvocato per la causa e necessario alla difesa della parte rappresenta- ta. L'indennità oraria ammonta almeno a 200 e al massimo a 300 franchi (art. 12 cpv. 1 RSPPF). Davanti alla Corte dei reclami penali, se l'avvocato non presenta alcuna nota delle spese al più tardi al momento dell'inoltro dell’unica o ultima memoria, il giudice fissa l'onorario secondo libero ap- prezzamento (art. 12 cpv. 2 RSPPF). Nella fattispecie, si giustifica di fissare in favore di A. un'indennità di fr. 2'000.-- (IVA compresa), la quale è messa a carico del Ministero pubblico ticinese in quanto autorità inferiore giusta l'art. 64 cpv. 2 PA. All'UFG non vengono per contro assegnate ripetibili (v. MICHAEL BEUSCH, in C. Auer/M. Müller/B. Schindler (curatori), Kommen- tar zum Bundesgesetz über das Verwaltungsverfahren, Zurigo/San Gallo 2008, n. 10 ad art. 64 cpv. 1 PA; MARCEL MAILLARD, in B. Waldmann/P. Weissenberger (curatori), Praxiskommentar zum Bundesgesetz über das Verwaltungsverfahren, Zurigo/Basilea/Ginevra 2009, n. 14 ad art. 64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