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RR.2012.178 vom 6. Dezember 2012</w:t>
      </w:r>
    </w:p>
    <w:p>
      <w:r>
        <w:t>Bundesstrafgericht, 2012-12-06, DE</w:t>
      </w:r>
    </w:p>
    <w:p>
      <w:r>
        <w:rPr>
          <w:b/>
        </w:rPr>
        <w:t xml:space="preserve">Quelle: </w:t>
      </w:r>
      <w:r>
        <w:t>https://mcp.opencaselaw.ch/entscheid/bstger_RR.2012.178</w:t>
      </w:r>
    </w:p>
    <w:p>
      <w:r>
        <w:t>FR: TPF RR.2012.178 du 6 décembre 2012</w:t>
      </w:r>
    </w:p>
    <w:p>
      <w:r>
        <w:t>IT: TPF RR.2012.178 del 6 dicembre 2012</w:t>
      </w:r>
    </w:p>
    <w:p>
      <w:pPr>
        <w:pStyle w:val="Heading2"/>
      </w:pPr>
      <w:r>
        <w:t>Regeste</w:t>
      </w:r>
    </w:p>
    <w:p>
      <w:r>
        <w:t>Internationale Rechtshilfe in Strafsachen an das Fürstenstum Liechtenstein. Herausgabe von Beweismitteln (Art. 74 IRSG). Rückzug der Beschwerde.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Mai 2011 in der Strafsache gegen A. sowie das Urteil des Kreisgerichts Werdenberg-Sarganserland vom 27. Oktober 2011 in der Strafsache A. verfügte (act. 1.2 und 1.3);</w:t>
      </w:r>
    </w:p>
    <w:p>
      <w:r>
        <w:t>- A. gegen die Eintretens- und die Schlussverfügung mit Beschwerde vom</w:t>
      </w:r>
    </w:p>
    <w:p>
      <w:r>
        <w:rPr>
          <w:b/>
        </w:rPr>
        <w:t>E. 26</w:t>
      </w:r>
    </w:p>
    <w:p>
      <w:r>
        <w:t>Juli 2012 an die Beschwerdekammer des Bundesstrafgerichts gelangte und beantragte, die Eintretens- und die Schlussverfügung seien aufzuhe- ben, und das Rechtshilfegesuch sei abzuweisen; ferner den Antrag stellte, die DNA-Spuren betreffend Privathaus U. in V. und betreffend Privathaus W. in V. durch ein ausführliches Gutachten mit Interpretation der Befunde inkl. biostatistischer Berechnung zu überprüfen; A. zudem um Gewährung der unentgeltlichen Rechtspflege ersuchte und schliesslich den prozessua- len Antrag auf Gewährung der aufschiebenden Wirkung der Beschwerde stellte (act. 1 S. 2);</w:t>
      </w:r>
    </w:p>
    <w:p>
      <w:r>
        <w:t>- der Beschwerdeführer am 6. August 2012 aufforderungsgemäss das For- mular betreffend unentgeltliche Rechtspflege ausgefüllt und mit diversen Beilagen retournierte (RP.2012.54 act. 2, 3/1-7);</w:t>
      </w:r>
    </w:p>
    <w:p>
      <w:r>
        <w:t>- das Bundesamt für Justiz sich mit Schreiben vom 7. August 2012 vollum- fänglich den Erwägungen in der angefochtenen Schlussverfügung an- schloss, und die Beschwerdegegnerin mit Eingabe vom 8. August 2012 sinngemäss die Abweisung der Beschwerde beantragte (act. 4 und 5), wel- che Schreiben dem Beschwerdeführer am 9. August 2012 zur Kenntnis zu- gestellt worden sind (act. 6);</w:t>
      </w:r>
    </w:p>
    <w:p>
      <w:r>
        <w:t>- der Beschwerdeführer mit Schreiben vom 16. November 2012 seinen Rückzug der Beschwerde bekannt gegeben und dabei am Antrag auf Ge-</w:t>
      </w:r>
    </w:p>
    <w:p>
      <w:r>
        <w:t>- 3 -</w:t>
      </w:r>
    </w:p>
    <w:p>
      <w:r>
        <w:t>währung der unentgeltlichen Rechtspflege festgehalten hat, indem er die anwaltliche Honorarnote einreichte (act. 7 und act. 7.1);</w:t>
      </w:r>
    </w:p>
    <w:p>
      <w:r>
        <w:t>- die Beschwerde zufolge Rückzugs der Beschwerde als erledigt abzu- schreiben ist;</w:t>
      </w:r>
    </w:p>
    <w:p>
      <w:r>
        <w:t>- die Beschwerdekammer eine Partei, die nicht über die erforderlichen Mittel verfügt, auf Antrag von der Bezahlung der Verfahrenskosten befreit, sofern ihr Begehren nicht aussichtslos erscheint (Art. 65 Abs. 1 VwVG i.V.m. Art. 39 Abs. 2 lit. b StBOG) und dieser einen Anwalt bestellt, wenn es zur Wah- rung ihrer Rechte notwendig erscheint (Art. 65 Abs. 2 VwVG i.V.m. Art. 39 Abs. 2 lit. b StBOG);</w:t>
      </w:r>
    </w:p>
    <w:p>
      <w:r>
        <w:t>- Prozessbegehren gemäss bundesgerichtlicher Rechtsprechung als aus- sichtslos anzusehen sind, wenn die Gewinnaussichten beträchtlich geringer erscheinen als die Verlustgefahren und deshalb kaum als ernsthaft be- zeichnet werden können; ein Begehren nicht als aussichtslos gilt, wenn sich Gewinnaussichten und Verlustgefahren ungefähr die Waage halten oder jene nur wenig geringer sind als diese; dabei massgebend ist, ob eine Partei, die über die nötigen finanziellen Mittel verfügt, sich bei vernünftiger Überlegung zu einem Prozess entschliessen würde (BGE 129 I 129 E. 2.3.1; 128 I 225 E. 2.5.3; 124 I 30 E. 2c);</w:t>
      </w:r>
    </w:p>
    <w:p>
      <w:r>
        <w:t>- um vorliegend über die Gewährung der unentgeltlichen Rechtspflege ent- scheiden zu können, die Vorbringen des Beschwerdeführers nachfolgend summarisch zu prüfen sind;</w:t>
      </w:r>
    </w:p>
    <w:p>
      <w:r>
        <w:t>- zur Beschwerdeführung berechtigt ist, wer persönlich und direkt von einer Rechtshilfemassnahme betroffen ist und ein schutzwürdiges Interesse an deren Aufhebung oder Änderung hat (Art. 80h lit. b IRSG), wobei Perso- nen, gegen die sich das ausländische Strafverfahren richtet, unter densel- ben Bedingungen beschwerdelegitimiert sind (Art. 21 Abs. 3 IRSG); nach der Rechtsprechung ein schutzwürdiges Interesse nicht schon dann vor- liegt, wenn jemand irgendeine Beziehung zum Streitobjekt zu haben be- hauptet; vielmehr zur Bejahung der Legitimation erforderlich ist, dass der angefochtene Entscheid den Beschwerdeführer in stärkerem Masse be- rührt als die Allgemeinheit der Bürger, bzw. eine vom einschlägigen Bun- desrecht erfasste spezifische Beziehungsnähe gegeben ist; die Recht- sprechung deshalb die Legitimation jeder natürlichen oder juristischen Per- son anerkennt, die von einer Rechtshilfemassnahme unmittelbar berührt wird, dagegen die Beschwerdebefugnis von Personen, die nur mittelbar von der angefochtenen Verfügung betroffen sind, verneint (zum Ganzen</w:t>
      </w:r>
    </w:p>
    <w:p>
      <w:r>
        <w:t>- 4 -</w:t>
      </w:r>
    </w:p>
    <w:p>
      <w:r>
        <w:t>BGE 130 II 162 E. 1.1 S. 163; 128 II 211 E. 2.3 S. 217; 123 II 153 E. 2b S. 156, je m.w.H.);</w:t>
      </w:r>
    </w:p>
    <w:p>
      <w:r>
        <w:t>- der Beschwerdeführer durch die Herausgabe der Einstellungsverfügung vom 25. Mai 2011 des Untersuchungsamtes Uznach sowie des Urteils des Kreisgerichts Werdenberg-Sarganserland vom 27. Oktober 2011 keiner Zwangsmassnahme direkt unterworfen worden ist, weshalb er durch die Rechtshilfehandlung bloss mittelbar betroffen ist, ihm daher die Legitima- tion im Sinne der zitierten Rechtsprechung zur Beschwerdeführung abzu- sprechen gewesen wäre und auf die Beschwerde nicht eingetreten worden wäre;</w:t>
      </w:r>
    </w:p>
    <w:p>
      <w:r>
        <w:t>- die Beschwerde nach dem Gesagten keine Aussicht auf Erfolg gehabt hät- te, und das Gesuch um unentgeltliche Rechtspflege bereits aus diesem Grund abzuweisen ist;</w:t>
      </w:r>
    </w:p>
    <w:p>
      <w:r>
        <w:t>- der Beschwerdeführer, der seine Beschwerde zurückzieht, grundsätzlich als unterliegende Partei zu gelten und folglich gemäss Art. 63 Abs. 1 VwVG i.V.m. Art. 39 Abs. 2 lit. b StBOG die Gerichtskosten zu tragen hat; für die Berechnung der Gerichtsgebühren das Reglement vom 31. August 2010 des Bundesstrafgerichts über die Kosten, Gebühren und Entschädigungen in Bundesstrafverfahren (BStKR; SR 173.713.162) zur Anwendung gelangt (Art. 63 Abs. 5 VwVG i.V.m. Art. 53 Abs. 2 lit. a StBOG und Art. 22 Abs. 3 BStKR); die Gerichtsgebühr vorliegend auf Fr. 500.-- anzusetzen ist.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