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RR.2012.177 vom 11. Dezember 2012</w:t>
      </w:r>
    </w:p>
    <w:p>
      <w:r>
        <w:t>Bundesstrafgericht, 2012-12-11, DE</w:t>
      </w:r>
    </w:p>
    <w:p>
      <w:r>
        <w:rPr>
          <w:b/>
        </w:rPr>
        <w:t xml:space="preserve">Quelle: </w:t>
      </w:r>
      <w:r>
        <w:t>https://mcp.opencaselaw.ch/entscheid/bstger_RR.2012.177</w:t>
      </w:r>
    </w:p>
    <w:p>
      <w:r>
        <w:t>FR: TPF RR.2012.177 du 11 décembre 2012</w:t>
      </w:r>
    </w:p>
    <w:p>
      <w:r>
        <w:t>IT: TPF RR.2012.177 del 11 dicembre 2012</w:t>
      </w:r>
    </w:p>
    <w:p>
      <w:pPr>
        <w:pStyle w:val="Heading2"/>
      </w:pPr>
      <w:r>
        <w:t>Regeste</w:t>
      </w:r>
    </w:p>
    <w:p>
      <w:r>
        <w:t>Internationale Rechtshilfe in Strafsachen an Griechenland. Kontosperre (Art. 33a IRSV). Zwischenverfügung.</w:t>
      </w:r>
    </w:p>
    <w:p>
      <w:pPr>
        <w:pStyle w:val="Heading2"/>
      </w:pPr>
      <w:r>
        <w:t>Erwägungen</w:t>
      </w:r>
    </w:p>
    <w:p>
      <w:r>
        <w:rPr>
          <w:b/>
        </w:rPr>
        <w:t>E. 1</w:t>
      </w:r>
    </w:p>
    <w:p>
      <w:r>
        <w:t>Für die Rechtshilfe zwischen Griechenland und der Schweiz sind primär die Bestimmungen des Europäischen Übereinkommens über die Rechtshilfe in Strafsachen vom 20. April 1959 (EUeR; SR 0.351.1), dem beide Staaten beigetreten sind, sowie das zu diesem Übereinkommen am 8. November 2001 ergangene zweite Zusatzpro- tokoll (2. ZP; SR 0.351.12) massgebend. Überdies gelangen die Be- stimmungen der Art. 48 ff. des Übereinkommens vom 19. Juni 1990 zur Durchführung des Übereinkommens von Schengen vom 14. Juni 1985 (Schengener Durchführungsübereinkommen, SDÜ; ABl. L 239</w:t>
      </w:r>
    </w:p>
    <w:p>
      <w:r>
        <w:t>- 4 -</w:t>
      </w:r>
    </w:p>
    <w:p>
      <w:r>
        <w:t>vom 22. September 2000, S. 19-62) zur Anwendung, wobei die zwi- schen den Vertragsparteien geltenden weitergehenden Bestimmun- gen aufgrund bilateraler Abkommen unberührt bleiben (Art. 48 Abs. 2 SDÜ). Soweit dem Beschuldigten Geldwäscherei vorgeworfen wird, kann zudem das von beiden Ländern ratifizierte Übereinkommen über Geldwäscherei sowie Ermittlung, Beschlagnahme und Einzie- hung von Erträgen aus Straftaten vom 8. November 1990 (GwUe, SR 0.311.53) zur Anwendung gelangen.</w:t>
      </w:r>
    </w:p>
    <w:p>
      <w:r>
        <w:t>Soweit das Staatsvertragsrecht bestimmte Fragen nicht abschlies- send regelt, gelangen das IRSG und die Verordnung über internatio- nale Rechtshilfe in Strafsachen vom 24. Februar 1982 (IRSV; SR 351.11) zur Anwendung (Art. 1 Abs. 1 IRSG; BGE 130 II 337 E. 1; 128 II 355 E. 1; 124 II 180 E. 1a). Das innerstaatliche Recht gilt nach dem Günstigkeitsprinzip auch dann, wenn dieses geringere Anforde- rungen an die Rechtshilfe stellt (BGE 137 IV 33 E. 2.2.2; 136 IV 82, E. 3.1; 129 II 462 E. 1.1, mit weiteren Hinweisen). Vorbehalten bleibt die Wahrung der Menschenrechte (BGE 135 IV 212 E. 2.3; 123 II 595 E. 7c).</w:t>
      </w:r>
    </w:p>
    <w:p>
      <w:r>
        <w:rPr>
          <w:b/>
        </w:rPr>
        <w:t>E. 2</w:t>
      </w:r>
    </w:p>
    <w:p>
      <w:r>
        <w:t>Beim Entscheid der Beschwerdegegnerin handelt es sich um eine – zeitlich zwischen der Eintretens- und Schlussverfügung ergangene – Zwischenverfügung der ausführenden Bundesbehörde, welche das Rechtshilfeverfahren weder ganz noch teilweise abschliesst. Der Schlussverfügung vorangehende Zwischenverfügungen können nur ausnahmsweise selbständig angefochten werden, wenn sie durch die Beschlagnahme von Vermögenswerten und Wertgegenständen oder durch die Anwesenheit von Personen, die am ausländischen Prozess beteiligt sind, einen unmittelbaren und nicht wieder gutzumachenden Nachteil bewirken (Art. 80e Abs. 2 lit. a und b IRSG). Die – vorliegend gewahrte – Beschwerdefrist gegen Zwischenverfügungen beträgt zehn Tage ab der schriftlichen Mitteilung der Verfügung (Art. 80k IRSG). Richtet sich die Beschwerde wie vorliegend gegen eine Zwischenver- fügung, so muss die beschwerdeführende Person nach der bundes- gerichtlichen Rechtsprechung mit konkreten Angaben glaubhaft ma- chen, inwiefern die rechtshilfeweise Beschlagnahme von Vermö- genswerten bzw. die Verweigerung einer Teilfreigabe zu einem nicht wieder gutzumachenden Nachteil führt. In Betracht kommen insbe- sondere drohende Verletzungen von konkreten vertraglichen Ver- pflichtungen, unmittelbar bevorstehende Betreibungsschritte, der dro- hende Entzug von behördlichen Bewilligungen oder das Entgehen</w:t>
      </w:r>
    </w:p>
    <w:p>
      <w:r>
        <w:t>- 5 -</w:t>
      </w:r>
    </w:p>
    <w:p>
      <w:r>
        <w:t>von konkreten Geschäften. Im Weiteren kann ein unmittelbarer und nicht wieder gutzumachender Nachteil vorliegen, wenn die Beschlag- nahme Mittel betrifft, die eine Person für ihren Unterhalt benötigt und sie angesichts der Kontensperre ihre Lebenshaltungskosten nicht mehr decken kann. Der drohende unmittelbare und nicht wieder gut- zumachende Nachteil muss vom Betroffenen glaubhaft gemacht wer- den; die blosse Behauptung eines solchen Nachteils genügt nicht (zum Ganzen BGE 130 II 329 E. 2 S. 332; 128 II 353 E. 3 S. 354, je mit Hinweisen; Urteile des Bundesgerichts 1A.81/2006 vom 21. Juli 2006, E. 2; 1A.265/2000 vom 28. November 2000, E. 2.c/cc und 1A.183/2006 vom 1. Februar 2007, E. 1.2, 2.2).</w:t>
      </w:r>
    </w:p>
    <w:p>
      <w:r>
        <w:rPr>
          <w:b/>
        </w:rPr>
        <w:t>E. 3</w:t>
      </w:r>
    </w:p>
    <w:p>
      <w:r>
        <w:t>In casu macht der Rechtsvertreter des Beschwerdeführers in seiner Beschwerdeschrift vom 20. Juli 2012 einen allfälligen unmittelbaren und nicht wieder gutzumachenden Nachteil im Sinne der vorstehen- den Erwägungen mit keinem Wort geltend, geschweige denn, dass ein solcher glaubhaft gemacht würde.</w:t>
      </w:r>
    </w:p>
    <w:p>
      <w:r>
        <w:t>Entsprechend ist auf seine Beschwerde nicht einzutreten, zumal der Beschwerdeführer seiner Obliegenheit, ein taugliches Anfechtungs- objekt im Sinne von Art. 80e Ziff. 2 IRSG aufzuzeigen, nicht nachge- kommen ist.</w:t>
      </w:r>
    </w:p>
    <w:p>
      <w:r>
        <w:rPr>
          <w:b/>
        </w:rPr>
        <w:t>E. 4</w:t>
      </w:r>
    </w:p>
    <w:p>
      <w:r>
        <w:t>Bei diesem Ausgang des Verfahrens wird der Beschwerdeführer kos- tenpflichtig (Art. 63 Abs. 1 VwVG i.V.m. Art. 39 Abs. 2 lit. b StBOG). Für die Berechnung der Gerichtsgebühren gelangt gemäss Art. 63 Abs. 5 VwVG das Reglement des Bundesstrafgerichts vom 31. Au- gust 2010 über die Kosten, Gebühren und Entschädigungen in Bun- desstrafverfahren (BStKR; SR 173.713.162) zur Anwendung. Für die- sen Nichteintretensentscheid rechtfertigt es sich, die Gebühr auf Fr. 3'000.-- anzusetzen, unter Anrechnung des entsprechenden Be- trages aus dem geleisteten Kostenvorschuss in der Höhe von Fr. 5'000.--. Die Bundesstrafgerichtskasse ist anzuweisen, dem Be- schwerdeführer den Restbetrag von Fr. 2'000.-- zurückzuerstatten.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