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RR.2012.161 vom 3. August 2012</w:t>
      </w:r>
    </w:p>
    <w:p>
      <w:r>
        <w:t>Bundesstrafgericht, 2012-08-03, FR</w:t>
      </w:r>
    </w:p>
    <w:p>
      <w:r>
        <w:rPr>
          <w:b/>
        </w:rPr>
        <w:t xml:space="preserve">Quelle: </w:t>
      </w:r>
      <w:r>
        <w:t>https://mcp.opencaselaw.ch/entscheid/bstger_RR.2012.161</w:t>
      </w:r>
    </w:p>
    <w:p>
      <w:r>
        <w:t>FR: TPF RR.2012.161 du 3 août 2012</w:t>
      </w:r>
    </w:p>
    <w:p>
      <w:r>
        <w:t>IT: TPF RR.2012.161 del 3 agosto 2012</w:t>
      </w:r>
    </w:p>
    <w:p>
      <w:pPr>
        <w:pStyle w:val="Heading2"/>
      </w:pPr>
      <w:r>
        <w:t>Regeste</w:t>
      </w:r>
    </w:p>
    <w:p>
      <w:r>
        <w:t>Remise de moyens de preuve (art. 74 EIMP).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al. 3 du Règlement du Tribunal pénal fédéral du 31 août 2010 sur les frais, émoluments, dépens, et indemnités de la procédure pénale fédérale (RFPPF; RS 173.713.162).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