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RR.2012.146 vom 7. Februar 2013</w:t>
      </w:r>
    </w:p>
    <w:p>
      <w:r>
        <w:t>Bundesstrafgericht, 2013-02-07, FR</w:t>
      </w:r>
    </w:p>
    <w:p>
      <w:r>
        <w:rPr>
          <w:b/>
        </w:rPr>
        <w:t xml:space="preserve">Quelle: </w:t>
      </w:r>
      <w:r>
        <w:t>https://mcp.opencaselaw.ch/entscheid/bstger_RR.2012.146</w:t>
      </w:r>
    </w:p>
    <w:p>
      <w:r>
        <w:t>FR: TPF RR.2012.146 du 7 février 2013</w:t>
      </w:r>
    </w:p>
    <w:p>
      <w:r>
        <w:t>IT: TPF RR.2012.146 del 7 febbraio 2013</w:t>
      </w:r>
    </w:p>
    <w:p>
      <w:pPr>
        <w:pStyle w:val="Heading2"/>
      </w:pPr>
      <w:r>
        <w:t>Regeste</w:t>
      </w:r>
    </w:p>
    <w:p>
      <w:r>
        <w:t>Entraide judiciaire internationale en matière pénale à l'Espagne. Transmission de moyens de preuves (art. 74 EIMP). Saisie conservatoire (art. 33a OEIMP).</w:t>
      </w:r>
    </w:p>
    <w:p>
      <w:pPr>
        <w:pStyle w:val="Heading2"/>
      </w:pPr>
      <w:r>
        <w:t>Erwägungen</w:t>
      </w:r>
    </w:p>
    <w:p>
      <w:r>
        <w:rPr>
          <w:b/>
        </w:rPr>
        <w:t>E. 1</w:t>
      </w:r>
    </w:p>
    <w:p>
      <w:r>
        <w:t>La Confédération suisse et le Royaume d’Espagne sont tous deux parties à la Convention européenne d’entraide judiciaire en matière pénale et ses protocoles additionnels (CEEJ; RS 0.351.1 et suivants). Dans les rapports d'entraide entre ledit Royaume et la Suisse, trouve également application la Convention du Conseil de l'Europe relative au blanchiment, au dépistage, à la saisie et à la confiscation des produits du crime (CBl; RS 0.311.53). Les art. 48 ss de la Convention d’application de l’Accord Schengen du 14 juin 1985 (CAAS; n° CELEX 42000A0922(02); Journal officiel de l’Union euro- péenne L 239 du 22 septembre 2000, p. 19 à 62) s’appliquent également à</w:t>
      </w:r>
    </w:p>
    <w:p>
      <w:r>
        <w:t>- 4 -</w:t>
      </w:r>
    </w:p>
    <w:p>
      <w:r>
        <w:t>l’entraide pénale entre ces deux Etats. Les dispositions de ces traités l’emportent sur le droit autonome qui régit la matière, soit la loi sur l’entraide pénale internationale (EIMP; RS 351.1) et son ordonnance d’exécution (OEIMP; RS 351.11). Le droit interne reste toutefois applicable aux questions non réglées, explicitement ou implicitement, par le traité et lorsqu’il est plus favorable à l’entraide (ATF 124 II 180 consid. 1.3; ATF 129 II 462 consid. 1.1; arrêt du Tribunal pénal fédéral RR.2010.9 du 15 avril 2010, consid. 1.3). L’application de la norme la plus favorable doit avoir lieu dans le respect des droits fondamentaux (ATF 135 IV 212 consid. 2.3; ATF 123 II 595 consid. 7c).</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cantonale d’exécution.</w:t>
      </w:r>
    </w:p>
    <w:p>
      <w:r>
        <w:rPr>
          <w:b/>
        </w:rPr>
        <w:t>E. 1.2</w:t>
      </w:r>
    </w:p>
    <w:p>
      <w:r>
        <w:t>Selon l’art. 80k EIMP, le délai de recours contre une décision de clôture est de trente jours dès la communication écrite de la décision, en d’autres termes dès sa "notification" (ATF 136 IV 16 consid. 2.3). En l'espèce, la dé- cision datée du 3 mai 2012 a été notifiée au conseil des recourants le 7 mai 2012 et celui-ci l'a reçue le lendemain. Le recours posté le 7 juin 2012, a donc été formé en temps utile.</w:t>
      </w:r>
    </w:p>
    <w:p>
      <w:r>
        <w:rPr>
          <w:b/>
        </w:rPr>
        <w:t>E. 1.3</w:t>
      </w:r>
    </w:p>
    <w:p>
      <w:r>
        <w:t>Selon l'art. 80h let. b EIMP, la qualité pour recourir contre une mesure d'en- traide judiciaire est reconnue à celui qui est personnellement et directement touché par la mesure. La personne visée par la procédure pénale étran- gère peut recourir aux mêmes conditions (art. 21 al. 3 EIMP). Aux termes de l’art. 9a let. a OEIMP, est notamment réputé personnellement et direc- tement touché au sens des art. 21 al. 3 et 80h EIMP, en cas d’informations sur un compte, le titulaire du compte dont les documents font l’objet de la décision de clôture.</w:t>
      </w:r>
    </w:p>
    <w:p>
      <w:r>
        <w:t>Sous réserve de l'abus de droit, l'ayant droit économique d'une personne morale a exceptionnellement qualité pour recourir lorsque cette personne morale apparaît dans les pièces comptables comme la seule titulaire du compte et qu'elle a été dissoute après l'ouverture du compte, de sorte qu'elle n'est plus capable d'agir (ATF 123 II 153 consid. 2). En pareille hy- pothèse, il appartient à l'ayant droit de prouver la liquidation, documents officiels à l'appui (arrêts du Tribunal fédéral 1C_161/2011 du 11 avril 2011,</w:t>
      </w:r>
    </w:p>
    <w:p>
      <w:r>
        <w:t>- 5 -</w:t>
      </w:r>
    </w:p>
    <w:p>
      <w:r>
        <w:t>consid. 1.3; 1A.212/2001 du 21 mars 2002, consid. 1.3.2; 1A.10/2000 du 18 mai 2000, consid. 1e; 1A.131/1999 du 26 août 1999, consid. 3 et 1A.236/1998 du 25 janvier 1999, consid. 1b/bb). La liquidation est abusive lorsqu'elle est intervenue, sans raison économique apparente, dans un dé- lai proche de l'ouverture de l'action pénale dans l'Etat requérant (arrêt du Tribunal fédéral 1A.10/2000 du 18 mai 2000, consid. 2). Il faut en outre que l'acte de dissolution indique clairement l'ayant droit comme son bénéficiaire (arrêt du Tribunal fédéral 1A.84/1999 du 31 mai 1999, consid. 2c). Ces conditions doivent être remplies, sous peine d'irrecevabilité. Ainsi, la qualité pour recourir sera déniée au recourant qui se borne à produire un extrait du registre du commerce de la société dissoute, sans fournir quelque indica- tion que ce soit susceptible d'établir qui est habilité à disposer effective- ment des comptes faisant l'objet de l'ordonnance querellée (arrêt du Tribu- nal fédéral RR.2009.151-154 du 11 septembre 2009, consid. 1.3.2).</w:t>
      </w:r>
    </w:p>
    <w:p>
      <w:r>
        <w:t>En application de ces principes, la qualité pour recourir est reconnue à A. Ltd en tant que titulaire de la relation bancaire n° 1 ouverte auprès de la banque L. et qui est visée par la mesure querellée (act. 1.1). La qualité pour recourir est également reconnue à B. Ltd puisqu'elle a succédé à C. Ltd en date du 1er novembre 2010 (act. 7.2) laquelle était titulaire du compte n° 2 ouvert auprès de la banque L. et visé par la décision de clôture partielle (1.1). S'agissant de la société M. SA, il ressort des actes de la cause qu'en date du 14 juillet 2008, D. a demandé la liquidation de ladite société et le transfert de tous ses avoirs en faveur de A. Ltd, y compris ceux se trouvant sur le compte n° 3. La qualité pour recourir doit toutefois être niée à D. dans la mesure où l'acte de dissolution de la société du</w:t>
      </w:r>
    </w:p>
    <w:p>
      <w:r>
        <w:rPr>
          <w:b/>
        </w:rPr>
        <w:t>E. 4</w:t>
      </w:r>
    </w:p>
    <w:p>
      <w:r>
        <w:t>Dans leurs conclusions, les recourantes demandent la levée des sé- questres frappant les comptes nos 1 et 2, dont elles sont titulaires auprès de la banque L., à Genève.</w:t>
      </w:r>
    </w:p>
    <w:p>
      <w:r>
        <w:rPr>
          <w:b/>
        </w:rPr>
        <w:t>E. 4.1</w:t>
      </w:r>
    </w:p>
    <w:p>
      <w:r>
        <w:t>A teneur de l’art. 74a al. 2 EIMP, sont susceptibles d’être saisis à titre con- servatoire en vue de confiscation ou de restitution à l’ayant droit les instru- 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Par ailleurs, la saisie de valeurs patrimoniales au titre de créance compensatrice est admissible s’il apparaît possible que les valeurs séques- trées pourront être remises à l’Etat requérant, conformément à l’art. 94 EIMP, en exécution d’un jugement définitif et exécutoire rendu dans cet Etat portant condamnation au paiement d’une créance compensatrice (ATF 120 Ib 167 consid. 3/c/aa; 133 IV 215 consid. 2.2.2 a contrario; arrêt du Tribunal pénal fédéral RR.2009.168 du 21 octobre 2009, consid. 4.3 et les arrêts cités).</w:t>
      </w:r>
    </w:p>
    <w:p>
      <w:r>
        <w:rPr>
          <w:b/>
        </w:rPr>
        <w:t>E. 4.2</w:t>
      </w:r>
    </w:p>
    <w:p>
      <w:r>
        <w:t>Selon l’art. 33a OEIMP, les objets et valeurs dont la remise à l’Etat requé- rant est subordonnée à une décision définitive et exécutoire de ce dernier demeurent saisis jusqu’à réception de ladite décision ou jusqu’à ce que l’Etat requérant ait fait savoir à l’autorité d’exécution compétente qu’une telle décision ne pouvait plus être rendue selon son propre droit, notam- ment en raison de la prescription. L’art. 11 al. 1 CBl prévoit pour sa part expressément l’obligation d’ordonner des mesures provisoires telles que le gel ou la saisie d’avoirs en pareille hypothèse.</w:t>
      </w:r>
    </w:p>
    <w:p>
      <w:r>
        <w:rPr>
          <w:b/>
        </w:rPr>
        <w:t>E. 4.3</w:t>
      </w:r>
    </w:p>
    <w:p>
      <w:r>
        <w:t>Dans le cas d'espèce, rien n'indique que l'autorité requérante ne puisse pas, à la fin de la procédure, prononcer la confiscation des avoirs précités et en demander la restitution à la Suisse. Il s'en suit qu'au stade actuel de la procédure la saisie doit être confirmée. La requête tendant à la levée des saisies doit partant être rejetée.</w:t>
      </w:r>
    </w:p>
    <w:p>
      <w:r>
        <w:rPr>
          <w:b/>
        </w:rPr>
        <w:t>E. 5</w:t>
      </w:r>
    </w:p>
    <w:p>
      <w:r>
        <w:t>Au vu de ce qui précède, le recours doit être rejeté sans qu'il soit nécessai- re de donner suite à la conclusion subsidiaire.</w:t>
      </w:r>
    </w:p>
    <w:p>
      <w:r>
        <w:rPr>
          <w:b/>
        </w:rPr>
        <w:t>E. 6</w:t>
      </w:r>
    </w:p>
    <w:p>
      <w:r>
        <w:t>En règle générale, les frais de procédure comprenant l'émolument d'arrêté, les émoluments de chancellerie et les débours sont mis à la charge de la partie qui succombe (art. 63 al. 1 PA). Le montant de l'émolument est cal-</w:t>
      </w:r>
    </w:p>
    <w:p>
      <w:r>
        <w:t>- 13 -</w:t>
      </w:r>
    </w:p>
    <w:p>
      <w:r>
        <w:t>culé en fonction de l'ampleur et de la difficulté de la cause, de la façon de procéder des parties, de leur situation financière et des frais de chancelle- rie (art. 73 al. 2 LOAP). Les recourantes supporteront ainsi les frais du pré- sent arrêt solidairement fixés à CHF 8'000.-- (art. 73 al. 2 LOAP et art. 8 al. 3 du règlement du Tribunal pénal fédéral sur les frais, émoluments, dépens et indemnités de la procédure pénale fédérale [RFPPF; RS 173.713.162] et art. 63 al. 5 PA), couverts par l'avance de frais.</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