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RR.2012.12 vom 19. April 2012</w:t>
      </w:r>
    </w:p>
    <w:p>
      <w:r>
        <w:t>Bundesstrafgericht, 2012-04-19, DE</w:t>
      </w:r>
    </w:p>
    <w:p>
      <w:r>
        <w:rPr>
          <w:b/>
        </w:rPr>
        <w:t xml:space="preserve">Quelle: </w:t>
      </w:r>
      <w:r>
        <w:t>https://mcp.opencaselaw.ch/entscheid/bstger_RR.2012.12</w:t>
      </w:r>
    </w:p>
    <w:p>
      <w:r>
        <w:t>FR: TPF RR.2012.12 du 19 avril 2012</w:t>
      </w:r>
    </w:p>
    <w:p>
      <w:r>
        <w:t>IT: TPF RR.2012.12 del 19 aprile 2012</w:t>
      </w:r>
    </w:p>
    <w:p>
      <w:pPr>
        <w:pStyle w:val="Heading2"/>
      </w:pPr>
      <w:r>
        <w:t>Regeste</w:t>
      </w:r>
    </w:p>
    <w:p>
      <w:r>
        <w:t>Entsiegelung (Art. 9 IRSG i.V.m. Art. 248 StPO). Hausdurchsuchung (Art. 63 Abs. 2 lit. b IRSG). Beweismittelbeschlagnahme (Art. 63 Abs. 2 lit. b IRSG).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August 2010 m.w.H.);</w:t>
      </w:r>
    </w:p>
    <w:p>
      <w:r>
        <w:t>- es der Beschwerdeführer unabhängig davon auch unterlassen hat, in sei- nen Beschwerdeschriften vom 18. August 2011 (RR.2012.14, act. 1.1, Bei- lage 17) und vom 7. November 2011 (RR.2010.14, act. 1.1) hinreichend konkret geltend zu machen, weshalb ihm aus der angefochtenen Be- schlagnahme ein unmittelbarer und nicht wieder gutzumachender Nachteil erwachse (siehe zur diesbezüglichen Begründungspflicht des Beschwerde- führers den Entscheid des Bundesstrafgerichts RR.2010.50 vom</w:t>
      </w:r>
    </w:p>
    <w:p>
      <w:r>
        <w:rPr>
          <w:b/>
        </w:rPr>
        <w:t>E. 18</w:t>
      </w:r>
    </w:p>
    <w:p>
      <w:r>
        <w:t>Mai 2010, E. 3.1);</w:t>
      </w:r>
    </w:p>
    <w:p>
      <w:r>
        <w:t>- auf alle drei Beschwerden aus den genannten Gründen nicht eingetreten werden kann;</w:t>
      </w:r>
    </w:p>
    <w:p>
      <w:r>
        <w:t>- bei diesem Ausgang des Verfahrens die Gerichtskosten dem Beschwerde- führer aufzuerlegen sind (Art. 63 Abs. 1 VwVG i.V.m. Art. 39 Abs. 2 lit. b StBOG);</w:t>
      </w:r>
    </w:p>
    <w:p>
      <w:r>
        <w:t>- die Gerichtsgebühr für die vereinigten Beschwerden gesamthaft auf Fr. 2’500.-- festgesetzt und im entsprechenden Betrag mit dem geleisteten Kostenvorschuss in der Höhe von insgesamt Fr. 7'500.-- verrechnet wird und der Restbetrag von Fr. 5'000.-- dem Beschwerdeführer zurückzuerstat- ten ist (Art. 63 Abs. 5 VwVG, Art. 73 StBOG und Art. 5 und Art. 8 Abs. 3 des Reglements des Bundesstrafgerichts vom 31. August 2010 über die Kosten, Gebühren und Entschädigungen in Bundesstrafverfahren [BStKR, SR 173.713.162]);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