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RR.2012.106 vom 29. November 2012</w:t>
      </w:r>
    </w:p>
    <w:p>
      <w:r>
        <w:t>Bundesstrafgericht, 2012-11-29, DE</w:t>
      </w:r>
    </w:p>
    <w:p>
      <w:r>
        <w:rPr>
          <w:b/>
        </w:rPr>
        <w:t xml:space="preserve">Quelle: </w:t>
      </w:r>
      <w:r>
        <w:t>https://mcp.opencaselaw.ch/entscheid/bstger_RR.2012.106</w:t>
      </w:r>
    </w:p>
    <w:p>
      <w:r>
        <w:t>FR: TPF RR.2012.106 du 29 novembre 2012</w:t>
      </w:r>
    </w:p>
    <w:p>
      <w:r>
        <w:t>IT: TPF RR.2012.106 del 29 novembre 2012</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 teraler Abkommen unberührt bleiben (Art. 48 Abs. 2 SDÜ).</w:t>
      </w:r>
    </w:p>
    <w:p>
      <w:r>
        <w:t>Da die griechischen Behörden ebenfalls wegen mutmasslicher Geldwä- scherei bzw. wegen Bestechungsdelikten ermitteln, kommen zudem das Übereinkommen vom 8. November 1990 über Geldwäscherei sowie Ermitt- lung, Beschlagnahme und Einziehung von Erträgen aus Straftaten (GwUe, SR 0.311.53) wie auch das Übereinkommen vom 17. Dezember 1997 über die Bekämpfung der Bestechung ausländischer Amtsträger im internationa- len Geschäftsverkehr (SR 0.311.21; vgl. hierzu u. a. TPF 2009 111 E. 1.3), das Strafrechtsübereinkommen vom 27. Januar 1999 über Korruption</w:t>
      </w:r>
    </w:p>
    <w:p>
      <w:r>
        <w:t>- 6 -</w:t>
      </w:r>
    </w:p>
    <w:p>
      <w:r>
        <w:t>(SR 0.311.55), das hierzu ergangene Zusatzprotokoll vom 15. Mai 2003 (SR 0.311.551) und Art. 43 ff. des Übereinkommens vom 31. Oktober 2003 der Vereinten Nationen gegen Korruption (SR 0.311.56) zur Anwendung.</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Als persönlich und direkt betroffen im Sinne des Art. 80h lit. b IRSG gilt bei der Erhebung von Kontoinformationen namentlich der Kontoinhaber (Art. 9a lit. a IRSV). Bloss wirtschaftlich an einem Bankkonto Berechtigte sind hingegen grundsätzlich nicht legitimiert, Rechtshilfemassnahmen an- zufechten, welche die Bankverbindung betreffen. Eine Ausnahme lässt die Praxis zu, falls einzige Kontoinhaberin eine juristische Person war, die auf- gelöst worden ist, und zudem keine Anhaltspunkte dafür bestehen, dass die Liquidation dieser Gesellschaft nur vorgeschoben wird bzw. rechts- missbräuchlich erfolgte (BGE 137 IV 134 E. 5.2.1 S. 138 m.w.H.). Die Be- weislast für die wirtschaftliche Berechtigung und die Auflösung der juristi- schen Person liegt allerdings beim Rechtssuchenden (vgl. hierzu u. a. die Urteile des Bundesgerichts 1C_183/2012 vom 12. April 2012, E. 1.4; 1C_161/2011 vom 11. April 2011, E. 1.3.1). Als rechtsmissbräuchlich gilt die Liquidation der juristischen Person, wenn sie scheinbar ohne wirtschaft- lichen Grund und in zeitlicher Nähe der Eröffnung der Strafuntersuchung im ersuchenden Staat erfolgt (vgl. hierzu sowie zum Ganzen auch TPF 2009 183 E. 2.2.1 m.w.H.)</w:t>
      </w:r>
    </w:p>
    <w:p>
      <w:r>
        <w:t>- 7 -</w:t>
      </w:r>
    </w:p>
    <w:p>
      <w:r>
        <w:rPr>
          <w:b/>
        </w:rPr>
        <w:t>E. 2.3</w:t>
      </w:r>
    </w:p>
    <w:p>
      <w:r>
        <w:t>Der Beschwerdeführer erhob die vorliegende Beschwerde explizit als wirt- schaftlich Berechtigter an der mittlerweile aufgelösten J. Foundation als seinerzeitige Kontoinhaberin der nun herauszugebenden Unterlagen (vgl. u. a. act. 1, Rz. 3). Die Auflösung der Stiftung wurde mit dem eingereichten beglaubigten Auszug aus dem Öffentlichkeitsregister Liechtensteins (act. 1.2) in rechtsgenüglicher Weise dargetan. Was vorliegend hingegen fehlt, ist die von der Rechtsprechung geforderte klare Bezeichnung des Be- schwerdeführers als Begünstigter der Liquidation im Auflösungsbeschluss selbst (act. 1.3). Die Frage, ob die vom Beschwerdeführer eingereichten bzw. von diesem bezeichneten Unterlagen für den Nachweis seiner angeb- lichen wirtschaftlichen Berechtigung dienen, kann im vorliegenden Fall of- fen gelassen werden, nachdem hinreichende Anhaltspunkte bestehen, dass die Liquidation der J. Foundation nur vorgeschoben wurde bzw. rechtsmissbräuchlich erfolgte.</w:t>
      </w:r>
    </w:p>
    <w:p>
      <w:r>
        <w:t>Dem Beschwerdeführer war bereits zum Zeitpunkt der Auflösung der J. Foundation bekannt, dass gegen ihn im ersuchenden Staat Griechenland eine Strafuntersuchung hängig war (vgl. schon nur das Schreiben der Be- schwerdegegnerin an den Beschwerdeführer vom 19. März 2010, wo aus- drücklich auf das Verfahren in Griechenland Bezug genommen wird, act. 1.33). Für die Auflösung der J. Foundation scheint es zudem keinen erkennbaren wirtschaftlichen Grund zu geben. Im Aufhebungsbeschluss vom 27. September 2010 wird ausdrücklich festgestellt, dass die Stiftung über kein Vermögen mehr verfüge und somit ihr Zweck unerreichbar ge- worden sei (act. 1.3). Zu jenem Zeitpunkt lagen aber noch viele Wertschrif- ten im Depot der J. Foundation, welche erst am 29. Oktober 2010 auf die N. Foundation übertragen wurden (Akten BA, Rubrik 4, pag. 119 ff.). Bei der N. Foundation handelt es sich offensichtlich um die Nachfolgestiftung der J. Foundation mit den "gleichen Statuten", "entsprechende[n] Konten" und "gleichen Vollmachten" gemäss dem vom Beschwerdeführer am 7. Ju- li 2010 erteilten Auftrag zur Auflösung der J. Foundation und der anschlies- senden Neugründung einer identischen Stiftung (act. 1.11). Die Vorge- hensweise des Beschwerdeführers ist anhand der von ihm selbst produ- zierten Unterlagen offensichtlich als rechtsmissbräuchlich zu bezeichnen.</w:t>
      </w:r>
    </w:p>
    <w:p>
      <w:r>
        <w:rPr>
          <w:b/>
        </w:rPr>
        <w:t>E. 2.4</w:t>
      </w:r>
    </w:p>
    <w:p>
      <w:r>
        <w:t>Nach dem Gesagten kann dem Beschwerdeführer die Beschwerdelegitima- tion für die aufgelöste J. Foundation als ursprünglich betroffene Inhaberin des Kontos, dessen Unterlagen nun herausgegeben werden sollen, nicht zuerkannt werden. Auf dessen Beschwerde ist demnach nicht einzutreten.</w:t>
      </w:r>
    </w:p>
    <w:p>
      <w:r>
        <w:t>- 8 -</w:t>
      </w:r>
    </w:p>
    <w:p>
      <w:r>
        <w:rPr>
          <w:b/>
        </w:rPr>
        <w:t>E. 3</w:t>
      </w:r>
    </w:p>
    <w:p>
      <w:r>
        <w:t>Als sinnlos erweisen sich die im Rahmen der Replik erstmals gestellten Beschwerdeanträge. Die vom Beschwerdeführer eingereichten Akten (act. 13.1 und 13.2) sind und bleiben Teil des vorliegenden Beschwerde- verfahrens, werden aber von der angefochtenen Schlussverfügung offen- sichtlich nicht erfasst. Da bei oben erwähntem Ausgang des Beschwerde- verfahrens eine materielle Überprüfung der Schlussverfügung entfällt, erüb- rigen sich auch weitere Bemerkungen zum vom Beschwerdeführer gestell- ten Antrag auf Vereinigung des Beschwerdeverfahrens.</w:t>
      </w:r>
    </w:p>
    <w:p>
      <w:r>
        <w:rPr>
          <w:b/>
        </w:rPr>
        <w:t>E. 4</w:t>
      </w:r>
    </w:p>
    <w:p>
      <w:r>
        <w:t>Bei diesem Ausgang des Verfahrens sind die Gerichtskosten dem Be- schwerdeführer aufzuerlegen (Art. 63 Abs. 1 VwVG i.V.m. Art. 39 Abs. 2 lit. b StBOG). Die Gerichtsgebühr ist auf Fr. 5'000.-- festzusetzen (Art. 63 Abs. 5 VwVG i.V.m. Art. 39 Abs. 2 lit. b StBOG und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