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RR.2012.100 vom 24. Oktober 2012</w:t>
      </w:r>
    </w:p>
    <w:p>
      <w:r>
        <w:t>Bundesstrafgericht, 2012-10-24, DE</w:t>
      </w:r>
    </w:p>
    <w:p>
      <w:r>
        <w:rPr>
          <w:b/>
        </w:rPr>
        <w:t xml:space="preserve">Quelle: </w:t>
      </w:r>
      <w:r>
        <w:t>https://mcp.opencaselaw.ch/entscheid/bstger_RR.2012.100</w:t>
      </w:r>
    </w:p>
    <w:p>
      <w:r>
        <w:t>FR: TPF RR.2012.100 du 24 octobre 2012</w:t>
      </w:r>
    </w:p>
    <w:p>
      <w:r>
        <w:t>IT: TPF RR.2012.100 del 24 ottobre 2012</w:t>
      </w:r>
    </w:p>
    <w:p>
      <w:pPr>
        <w:pStyle w:val="Heading2"/>
      </w:pPr>
      <w:r>
        <w:t>Regeste</w:t>
      </w:r>
    </w:p>
    <w:p>
      <w:r>
        <w:t>Internationale Rechtshilfe in Strafsachen an Frankreich. Herausgabe von Beweismitteln (Art. 74 IRSG); Kontosperre (Art. 33a IRSV).</w:t>
      </w:r>
    </w:p>
    <w:p>
      <w:pPr>
        <w:pStyle w:val="Heading2"/>
      </w:pPr>
      <w:r>
        <w:t>Erwägungen</w:t>
      </w:r>
    </w:p>
    <w:p>
      <w:r>
        <w:rPr>
          <w:b/>
        </w:rPr>
        <w:t>E. 1</w:t>
      </w:r>
    </w:p>
    <w:p>
      <w:r>
        <w:t>Für die akzessorische Rechtshilfe zwischen der Schweiz und Frankreich sind in erster Linie das Europäische Übereinkommen über die Rechtshilfe in Strafsachen vom 20. April 1959 (EUeR; SR.0351.1), der zwischen dem Schweizerischen Bundesrat und der Regierung der Französischen Repu- blik abgeschlossene Vertrag vom 28. Oktober 1996 zur Ergänzung des Eu- er (SR.0.351.934.92) sowie die Bestimmungen der Art. 48 ff. des Überein- kommens vom 19. Juni 1990 zur Durchführung des Übereinkommens von Schengen vom 14. Juni 1985 (Schengener Durchführungsübereinkommen, SDÜ; ABl. L 239 vom 22. September 2000, S. 19 – 62) massgebend. So- 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S. 464). Vor- behalten bleibt die Wahrung der Menschenrechte (vgl. BGE 135 IV 212 E. 2.3; 123 II 595 E. 7c S. 616 ff.).</w:t>
      </w:r>
    </w:p>
    <w:p>
      <w:r>
        <w:rPr>
          <w:b/>
        </w:rPr>
        <w:t>E. 2.1</w:t>
      </w:r>
    </w:p>
    <w:p>
      <w:r>
        <w:t>S. 48). Als persönlich und direkt betroffen (im Sinne von Art. 80h lit. b und Art. 21 Abs. 3 IRSG) wird im Falle der Erhebung von Konteninforma- tionen der jeweilige Kontoinhaber angesehen (Art. 9a lit. a IRSV; BGE 118 Ib 547 E. 1d; BGE 122 II 130 E. 2b; TPF 2007 79 E. 1.6). Für bloss indirekt Betroffene, insbesondere Personen, die zwar in den erhobenen Kontenun- terlagen erwähnt werden, aber nicht direkt von Zwangsmassnahmen be- troffen bzw. Inhaber der fraglichen Konten sind, ist die Beschwerdebefugnis grundsätzlich zu verneinen (BGE 129 II 268 E. 2.3.3 S. 269; 123 II 153 E. 2b S. 157, 161 E. 1d S. 164, je mit Hinweisen; 122 II 130 E. 2b S. 132 f.).</w:t>
      </w:r>
    </w:p>
    <w:p>
      <w:r>
        <w:t>Die Beschwerdeführerin ist Inhaberin des Kontos Nr. 1 bei der Bank C. Diesbezüglich ist ihre Beschwerdelegitimation im Sinne der oben erläuter- ten Bestimmungen gegeben, weshalb in diesem Umfang auf ihre Be- schwerde einzutreten ist.</w:t>
      </w:r>
    </w:p>
    <w:p>
      <w:r>
        <w:rPr>
          <w:b/>
        </w:rPr>
        <w:t>E. 2.2</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des Organisationsreglements für das Bundesstraf- gericht vom 31. August 2010, SR 173.713.161).</w:t>
      </w:r>
    </w:p>
    <w:p>
      <w:r>
        <w:t>Die Schlussverfügung vom 26. März 2012 ist mit Beschwerde vom 26. April 2012 fristgerecht angefochten worden.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w:t>
      </w:r>
    </w:p>
    <w:p>
      <w:r>
        <w:t>- 5 -</w:t>
      </w:r>
    </w:p>
    <w:p>
      <w:r>
        <w:t>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moniert zunächst die mangelnde Sachverhalts- schilderung im Rechtshilfebegehren sowie das Fehlen des Rechtshilfeer- fordernisses der doppelten Strafbarkeit. Zusammengefasst macht sie gel- tend, dass die Darstellung des Sachverhalts im Rechtshilfebegehren ex- trem verworren und die rechtlichen Konsequenzen der vorgeworfenen Ver- gehen nicht dargelegt sei. Es sei nicht möglich, das Vorliegen der doppel- ten Strafbarkeit zu prüfen (act. 1 S. 7 ff.; act. 12 S. 6f.).</w:t>
      </w:r>
    </w:p>
    <w:p>
      <w:r>
        <w:rPr>
          <w:b/>
        </w:rPr>
        <w:t>E. 4.2</w:t>
      </w:r>
    </w:p>
    <w:p>
      <w:r>
        <w:t>In formeller Hinsicht muss das Rechtshilfeersuchen insbesondere Angaben über den Gegenstand und den Grund des Ersuchens enthalten (Art. 14 Ziff. 1 lit. b EUeR). Ausserdem muss das Ersuchen namentlich bei Herausgabe von Beweismitteln wie in casu die strafbare Handlung bezeichnen und eine kurze Darstellung des Sachverhalts enthalten (Art. 14 Ziff. 2 i.V.m. Art. 3 Ziff. 1 EUeR). Art. 28 Abs. 2 und 3 IRSG i.V.m. Art. 10 IRSV stellen ent- 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w:t>
      </w:r>
    </w:p>
    <w:p>
      <w:r>
        <w:t>- 6 -</w:t>
      </w:r>
    </w:p>
    <w:p>
      <w:r>
        <w:t>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genügend konkret dargestellt worden ist, damit eine Subsumtion unter einen schweizerischen Straftatbestand möglich ist.</w:t>
      </w:r>
    </w:p>
    <w:p>
      <w:r>
        <w:t>- 7 -</w:t>
      </w:r>
    </w:p>
    <w:p>
      <w:r>
        <w:rPr>
          <w:b/>
        </w:rPr>
        <w:t>E. 4.4</w:t>
      </w:r>
    </w:p>
    <w:p>
      <w:r>
        <w:t>Im französischen Rechtshilfeersuchen vom 22. Juni 2010 wird zum strafba- ren Verhalten im Wesentlichen Folgendes ausgeführt: Im Juni 2005 habe die "D." Strafanzeige gegen Unbekannt wegen Fälschung erhoben. Dies, weil im Februar 2005 an einen Beamten einer öffentlich-rechtlichen Körper- schaft von einer gewissen "F.", die sich als Hellseherin präsentiert habe, eine Werbeschrift zugestellt worden sei. Darin sei dem Beamten eine Überweisung von EUR 30'000.-- seitens einer "E. des prix" zu seinen Gunsten angezeigt worden. Gleichzeitig sei er zu einer Überweisung von EUR 15 aufgefordert worden, um einen Glücksbringer zu erhalten. Im Rahmen des Ermittlungsverfahrens habe festgestellt werden können, dass zahlreiche weitere Personen dasselbe Werbeschreiben erhalten hätten, wobei die Antworten ("les réponses") an ein Postfach in Österreich hätten gesendet werden sollen. Es habe sich gezeigt, dass zahlreiche Mailings mit unterschiedlichen Inhalten unter der Verwendung des Namens "F." ver- schickt worden seien mit dem Ziel, von den Empfängern Geldzahlungen in der Hoffnung auf beträchtliche Gewinne zu erhalten. Es seien ferner Anruf- automaten eingesetzt worden, um bei den betroffenen Personen den Glau- ben zu erwecken, einen Anruf von "F." erhalten zu haben. Die esoterischen Werbekampagnen "F." würden zu einem grösseren Netz gehören, das sich bis nach Amerika und Holland erstrecke. Die Tätigkeit habe sich als lukrativ erwiesen. Die von Privatpersonen eingeschickten Schecks seien auf einem Konto der schweizerischen Firma G. bei der französischen Bank H. einge- löst worden. Die Einzahlungen auf dieses Konto hätten sich monatlich auf EUR 500'000.-- bis 800'000.-- belaufen (Verfahrensakten Urk. 7 ff.).</w:t>
      </w:r>
    </w:p>
    <w:p>
      <w:r>
        <w:rPr>
          <w:b/>
        </w:rPr>
        <w:t>E. 4.5.1</w:t>
      </w:r>
    </w:p>
    <w:p>
      <w:r>
        <w:t>Gemäss Art. 251 Ziff. 1 StGB macht sich der Urkundenfälschung schuldig, wer in der Absicht, jemanden am Vermögen zu schädigen oder einem an- 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 bestände des Urkundenstrafrechts schützen das Vertrauen, welches im Rechtsverkehr einer Urkunde als einem Beweismittel entgegengebracht wird. Mittel zum Beweis kann nur sein, was generell geeignet ist, Beweis zu erbringen (BGE 124 IV 61 E. 5.a; Urteil des Bundesgerichts 6B.624/2007 vom 14. November 2007, E. 4.1). Als Urkunden gelten deshalb unter an- dern nur Schriften, die bestimmt und geeignet sind, eine Tatsache von rechtlicher Bedeutung zu beweisen (Art. 110 Ziff. 5 Abs. 1 StGB). Die Ur- kundenfälschung im engeren Sinn erfasst das Herstellen einer unechten Urkunden, deren wirklicher Aussteller mit dem aus ihr ersichtlichen Urheber nicht identisch ist. Demgegenüber betrifft die Falschbeurkundung die Er-</w:t>
      </w:r>
    </w:p>
    <w:p>
      <w:r>
        <w:t>- 8 -</w:t>
      </w:r>
    </w:p>
    <w:p>
      <w:r>
        <w:t>richtung einer echten, aber unwahren Urkunde, bei der also der wirkliche und der in der Urkunde enthaltene Sacherhalt nicht übereinstimmen (statt vieler: ULRICH WEDER, Kommentar zum Schweizerischen Strafgesetzbuch, Andreas Donatsch [Hrsg.], Zürich 2009, N8 zu Art. 251 StGB). Nach der Rechtsprechung ist das Vertrauen darin, dass eine Urkunde nicht verfälscht wird, grösser als das Vertrauen darauf, dass jemand in schriftlicher Form nicht lügt. Sie stellt daher an die Beweisbestimmung und Beweiseignung einer Urkunde bei der Falschbeurkundung hohe Anforderungen und wen- det Art. 251 StGB restriktiv an. Die Falschbeurkundung erfordert demnach eine qualifizierte schriftliche Lüge. Eine solche liegt nur vor, wenn der Ur- kunde eine erhöhte Glaubwürdigkeit zukommt und der Adressat ihr auf- grund dessen ein besonderes Vertrauen entgegenbringt. Dies ist der Fall, wenn allgemein gültige objektive Garantien die Wahrheit der Erklärung ge- genüber Dritten gewährleisten, wie sie unter anderem in der Prüfungspflicht einer Urkundsperson oder in gesetzlichen Bestimmungen über die ord- nungsgemässe Rechungslegung und in den Bilanzvorschriften vorkommen, die gerade den Inhalt dieser Schriftstücke näher festlegen (Urteil des Bun- desgerichts 6B.624/2007 vom 14. November 2007, E. 4.1).</w:t>
      </w:r>
    </w:p>
    <w:p>
      <w:r>
        <w:t>Dem im Rechtshilfeersuchen ausgeführten Sachverhalt ist nicht zu ent- nehmen, dass mit dem Werbeschreiben oder den "Mailings" über die Identi- tät der Ausstellerin hätte getäuscht werden sollen, sodass der Tatbestand der Urkundenfälschung im engeren Sinne ausscheidet. Fraglich ist, ob das geschilderte Verhalten unter den Tatbestand der Falschbeurkundung sub- sumiert werden kann. Entscheidend hierfür ist, ob der Werbeschrift und den "Mailings" erhöhte Glaubwürdigkeit im Sinne der zitierten Rechtsprechung zukommt. Die Sachverhaltsschilderung lässt die Annahme einer erhöhten Glaubwürdigkeit nicht zu, sodass eine Qualifikation der Werbeschrift bzw. der "Mailings" als Urkunde im Sinne von Art. 110 Ziff. 5 StGB nicht in Be- tracht kommt. Eine Subsumtion des Sachverhalts unter den Tatbestand der Urkundenfälschung im Sinne von Art. 251 Ziff. 1 StGB scheidet somit aus.</w:t>
      </w:r>
    </w:p>
    <w:p>
      <w:r>
        <w:rPr>
          <w:b/>
        </w:rPr>
        <w:t>E. 4.5.2</w:t>
      </w:r>
    </w:p>
    <w:p>
      <w:r>
        <w:t>Der im Rechtshilfeersuchen geschilderte Sachverhalt lässt sich auch nicht unter einen anderen Straftatbestand des Schweizerischen Strafrechts sub- sumieren. Insbesondere entfällt eine Subsumierung unter den Straftatbe- stand des Betrugs im Sinne von Art. 146 Abs. 1 StGB, da dem Rechtshilfe- ersuchen nicht zu entnehmen ist, auf welche Art und Weise die unbekannte Täterschaft die Opfer arglistig getäuscht haben sollen. Arglistig ist ein Ver- halten dann, wenn sich der Täter besonderer Machenschaften bedient oder ein ganzes Lügengebäude aufbaut. Arglist kann zwar auch bei einfachen Lügen gegeben sein, nämlich dann, wenn deren Überprüfung nicht oder nur mit besonderer Mühe möglich oder zumutbar ist, sowie dann, wenn der</w:t>
      </w:r>
    </w:p>
    <w:p>
      <w:r>
        <w:t>- 9 -</w:t>
      </w:r>
    </w:p>
    <w:p>
      <w:r>
        <w:t>Täter den Getäuschten von der möglichen Überprüfung abhält oder nach den gegebenen Umständen voraussieht, dass dieser die Überprüfung der Angaben aufgrund eines besonderen Vertrauensverhältnisses unterlassen werde (BGE 126 IV 1165 E. 2a; 125 IV 124 E. 3; 122 IV 246 E. 3a je m.w.H.). Ob der Einsatz eines Anrufbeantworters zwecks Vorspiegeln eines Anrufes von "F." als besondere Machenschaft zu qualifizieren ist, lässt sich aufgrund des spärlichen Sachverhalts nicht schlüssig beurteilen, kann aber auch offen bleiben. Denn Arglist scheidet nämlich in jedem Falle aus, wenn die Angaben in zumutbarer Weise überprüfbar gewesen wären und schon die Aufdeckung einer einzigen Lüge zur Enthüllung des ganzen Schwindels genügt hätte (sog. Opfermitverantwortung). Gerade bei Geschäften, die ohne persönliche Kontakte stattfinden und die mittels einer Werbung ange- priesen werden, ist besondere Vorsicht geboten. Auch der Umstand, dass sich vorliegend die Ausstellerin der Werbeschrift als eine Hellseherin na- mens "F." ausgegeben hat, hätte die Opfer stutzig machen müssen. Im Üb- rigen handelt es sich bei der "E." um eine der bedeutendsten öffentlich- rechtlichen Anstalten Frankreichs, die sich vor allem mit der Finanzierung öffentlich-rechtlicher Körperschaften beschäftigt. Die "E." führt weder Kon- ten für Privatpersonen noch organisiert sie Wettbewerbe. Zumindest einem französischen Beamten hätte dieser Umstand bekannt gewesen sein müs- sen. Es kommt hinzu, dass auf den Werbeschreiben von einer "E. des prix" die Rede ist, was ein weiterer Punkt ist, der bei den Geschädigten zu Zwei- feln an der Wahrheit der Angaben hätte führen müssen. Eine Überprüfung der Angaben auf ihre Richtigkeit wäre jedenfalls ohne weiteres möglich und zumutbar gewesen. Ferner sind Geschäfte, bei der die Gegenseite anonym ist, gerade nicht dazu geeignet, eine für die Annahme eines Vertrauensver- hältnisses notwendige Vertrauensbasis zu schaffen. Deshalb kann vorlie- gend auch nicht davon ausgegangen werden, die Täterschaft hätte voraus- gesehen, dass die Geschädigten die Überprüfung der Angaben unterlassen würden, zumal aus der Sachverhaltsdarstellung nicht hervorgeht, dass zwi- schen den Geschädigten und der Täterschaft in der Vergangenheit bereits Kontakte bestanden hätten. Schliesslich fehlt es an Hinweisen dafür, dass die Täterschaft die Geschädigten von einer Überprüfung abgehalten hätte. Ob das konkrete Auftreten der Täterschaft und die jeweiligen Werbeschrif- ten eine andere Schlussfolgerung nahelegen, kann aufgrund der rudimen- tären Sachverhaltsschilderung nicht beurteilt werden. Aufgrund der vorlie- genden Sachverhaltsdarstellung lässt sich das Tatbestandsmerkmal der Arglist nicht bejahen, weshalb eine Subsumtion des Sachverhaltes unter den Tatbestand des Betrugs nach Art. 146 Abs. 1 StGB ausscheidet.</w:t>
      </w:r>
    </w:p>
    <w:p>
      <w:r>
        <w:t>Entgegen der Ansicht der Beschwerdegegnerin entfällt sodann von vorn- herein eine Subsumierung des Sachverhalts unter den Tatbestand der Ver-</w:t>
      </w:r>
    </w:p>
    <w:p>
      <w:r>
        <w:t>- 10 -</w:t>
      </w:r>
    </w:p>
    <w:p>
      <w:r>
        <w:t>untreuung im Sinne von Art. 138 Ziff. 1 StGB, da keinerlei Anhaltspunkte dafür bestehen, die Geschädigten hätten der Täterschaft Vermögenswerte oder fremde bewegliche Sachen anvertraut. Was die Subsumierung des Sachverhalts unter einen Tatbestand des Bundesgesetzes über den unlau- teren Wettbewerb anbelangt (UWG), könnte allenfalls Art. 3 lit. b UWG in Betracht gezogen werden. Danach handelt unter anderem unlauter, wer über sich und seine Leistungen unrichtige oder irreführende Angaben macht. Allerdings müssen die Angaben objektiv zur Täuschung bzw. Irre- führung geeignet sein. Die Gefahr der Täuschung bzw. Irreführung genügt. Massgebend dafür, ob von einer solchen ausgegangen werden kann, ist das objektive Verständnis der angesprochenen Verkehrskreise unter Zugrundelegung durchschnittlicher Erfahrung, Sachkunde und Aufmerk- samkeit (BGE 136 III 23 E. 9.1, m.w.H.). Die spärlichen Sachverhaltsschil- derungen lassen auch hier keine Beurteilung zu, ob die Werbeschriften ob- jektiv geeignet waren, bei den Opfern eine Täuschung oder Irreführung hervorzurufen. Eine Subsumtion des Sachverhalts unter Art. 3 lit. b UWG scheidet daher aus. Aus dem Gesagten folgt, dass damit auch die Wahr- scheinlichkeit des Vorliegens einer Vortat zur Geldwäscherei im Sinne von Art. 305bis StGB nicht dargetan ist, weshalb auch eine Subsumierung unter den letztgenannten Tatbestand entfällt.</w:t>
      </w:r>
    </w:p>
    <w:p>
      <w:r>
        <w:rPr>
          <w:b/>
        </w:rPr>
        <w:t>E. 4.6</w:t>
      </w:r>
    </w:p>
    <w:p>
      <w:r>
        <w:t>Dies führt dazu, dass das Erfordernis der doppelten Strafbarkeit vorliegend nicht gegeben ist, weshalb der durch die ersuchende Behörde anbegehrten Herausgabe von Kontounterlagen vorläufig nicht entsprochen werden kann. Unter diesem Gesichtspunkt ist die Beschwerde gutzuheissen und Ziffer 2 der Schlussverfügung vom 26. März 2012 in Bezug auf die Herausgabe der Bankunterlagen betreffend das Konto Nr. 1 bei der Bank C., lautend auf die Beschwerdeführerin, aufzuheben.</w:t>
      </w:r>
    </w:p>
    <w:p>
      <w:r>
        <w:t>Damit erübrigt sich die Prüfung aller weiteren von der Beschwerdeführerin vorgebrachten Punkte.</w:t>
      </w:r>
    </w:p>
    <w:p>
      <w:r>
        <w:rPr>
          <w:b/>
        </w:rPr>
        <w:t>E. 5.1</w:t>
      </w:r>
    </w:p>
    <w:p>
      <w:r>
        <w:t>Die Beschwerdeführerin stellt sodann den Antrag auf Aufhebung der Kon- tosperre betreffend das Konto Nr. 1.</w:t>
      </w:r>
    </w:p>
    <w:p>
      <w:r>
        <w:rPr>
          <w:b/>
        </w:rPr>
        <w:t>E. 5.2</w:t>
      </w:r>
    </w:p>
    <w:p>
      <w:r>
        <w:t>Grundsätzlich rechtfertigt sich die Sperrung von Konten bei vorliegender Sachlage – ungenügende Sachverhaltsdarstellung – nicht. Dennoch sind die Vermögenssperren praxisgemäss (vgl. z.B. Entscheide des Bundes- strafgerichts RR.2009.264 vom 2. Februar 2010, E. 5.2; RR.2007.211 vom 30. Juni 2009, E.6; RR.2007.7-11 vom 27. Juni 2007, E. 3.1, 4.8 in fine) nicht sogleich aufzuheben. Art. 28 Abs. 6 IRSG sieht vor, dass ein Rechts- hilfeersuchen, welches den formellen Anforderungen nicht entspricht, ver-</w:t>
      </w:r>
    </w:p>
    <w:p>
      <w:r>
        <w:t>- 11 -</w:t>
      </w:r>
    </w:p>
    <w:p>
      <w:r>
        <w:t>bessert oder ergänzt werden kann. Der ersuchenden Behörde ist durch die Beschwerdegegnerin eine Frist von drei Monaten ab Rechtskraft dieses Entscheides einzuräumen, innert welcher die französischen Behörden er- gänzende Angaben zum Sachverhalt machen können. Treffen die zu ver- langenden Ergänzungen bis zu diesem Zeitpunkt nicht ein oder erlauben sie erneut keine Subsumtion unter einen schweizerischen Straftatbestand, sind die Kontosperren aufzuheben.</w:t>
      </w:r>
    </w:p>
    <w:p>
      <w:r>
        <w:rPr>
          <w:b/>
        </w:rPr>
        <w:t>E. 6</w:t>
      </w:r>
    </w:p>
    <w:p>
      <w:r>
        <w:t>Bei diesem Ausgang des Verfahrens hat die Beschwerdegegnerin die Be- schwerdeführerin im Umfang des Obsiegens für die ihr erwachsenen not- wendigen und verhältnismässigen Parteikosten zu entschädigen (Art. 64 Abs. 1 und 2 VwVG i.V.m. Art. 39 Abs. 2 lit. b StBOG). Dabei erscheint eine Entschädigung von Fr. 1'500.-- inkl. MwSt. als angemessen (Art. 10, 11 und 12 Abs. 2 des Reglementes des Bundesstrafgerichts vom 31. August 2010 über die Kosten, Gebühren und Entschädigungen in Bundesstrafverfahren [BStKR; SR 173.713.162]). Keine Verfahrenskosten werden Vorinstanz oder beschwerdeführenden und unterliegenden Bundesbehörden auferlegt (Art. 63 Abs. 2 VwVG), weshalb vorliegend keine Gerichtsgebühr zu erhe- ben ist. Entsprechend ist der Beschwerdeführerin der geleistete Kostenvor- schuss von Fr. 4'000.--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