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RR.2011.96 vom 11. Juli 2011</w:t>
      </w:r>
    </w:p>
    <w:p>
      <w:r>
        <w:t>Bundesstrafgericht, 2011-07-11, FR</w:t>
      </w:r>
    </w:p>
    <w:p>
      <w:r>
        <w:rPr>
          <w:b/>
        </w:rPr>
        <w:t xml:space="preserve">Quelle: </w:t>
      </w:r>
      <w:r>
        <w:t>https://mcp.opencaselaw.ch/entscheid/bstger_RR.2011.96</w:t>
      </w:r>
    </w:p>
    <w:p>
      <w:r>
        <w:t>FR: TPF RR.2011.96 du 11 juillet 2011</w:t>
      </w:r>
    </w:p>
    <w:p>
      <w:r>
        <w:t>IT: TPF RR.2011.96 del 11 luglio 2011</w:t>
      </w:r>
    </w:p>
    <w:p>
      <w:pPr>
        <w:pStyle w:val="Heading2"/>
      </w:pPr>
      <w:r>
        <w:t>Regeste</w:t>
      </w:r>
    </w:p>
    <w:p>
      <w:r>
        <w:t>Entraide judiciaire internationale en matière pénale au Royaume des Pays-Bas. Remise de moyens de preuves (art. 74 EIMP). Violation alléguée du principe de la proportionnalité du fait que l'autorité requérante aurait pu obtenir les pièces directement auprès du recourant (consid. 2).</w:t>
      </w:r>
    </w:p>
    <w:p>
      <w:pPr>
        <w:pStyle w:val="Heading2"/>
      </w:pPr>
      <w:r>
        <w:t>Erwägungen</w:t>
      </w:r>
    </w:p>
    <w:p>
      <w:r>
        <w:rPr>
          <w:b/>
        </w:rPr>
        <w:t>E. 1</w:t>
      </w:r>
    </w:p>
    <w:p>
      <w:r>
        <w:t>L'entraide judiciaire entre le Royaume des Pays-Bas et la Confédération suisse est prioritairement régie par la Convention européenne d’entraide judiciaire en matière pénale (CEEJ; RS 0.351.1). A compter du 12 décem- bre 2008, les art. 48 ss de la Convention d’application de l’Accord Schen- gen du 14 juin 1985 (CAAS; n° CELEX 42000A0922(02); Journal officiel de l’Union européenne L 239 du 22 septembre 2000, p. 19 à 62) s’appliquent également à l’entraide pénale entre la Suisse et le Royaume des Pays-Bas (v. arrêt du Tribunal pénal fédéral RR.2008.98 du 18 décembre 2008, consid. 1.3).</w:t>
      </w:r>
    </w:p>
    <w:p>
      <w:r>
        <w:t>Pour le surplus, la loi fédérale sur l’entraide judiciaire internationale en ma- tière pénale (EIMP; RS 351.1) et son ordonnance d'exécution (OEIMP; RS 351.11) règlent les questions qui ne sont pas régies, explicitement ou im- plicitement, par les traités (ATF 130 II 337 consid. 1; 128 II 355 consid. 1). Le droit interne s'applique en outre lorsqu'il est plus favorable à l'octroi de l’entraide que la CEEJ (ATF 122 II 140 consid. 2 et les arrêts cités). Le droit le plus favorable à l’entraide s’applique aussi pour ce qui concerne le rap- port entre elles des normes internationales pertinentes (v. art. 48 par. 2 CAAS). L’application de la norme la plus favorable doit avoir lieu dans le respect des droits fondamentaux (ATF 135 IV 212 consid. 2.3; 123 II 595 consid. 7c).</w:t>
      </w:r>
    </w:p>
    <w:p>
      <w:r>
        <w:t>- 5 -</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Revêtant cette qualité, A. est habilité à recourir contre la décision ordonnant la transmission de la documentation relative au compte n° 3 ouvert dans les livres de la banque J. Les comptes n° 4, 5 et 6 ouverts dans les livres de la banque M. étant détenus par A., B. et C. (ci-après: les recourants), la qualité pour recourir doit être reconnue aux recourants (v. arrêts du Tribunal pénal fédéral RR.2010.151-153 du 13 octobre 2010, consid. 3.2; RR.2009.148 et 150 du 11 septembre 2009, consid. 1.3). En revanche, cette qualité doit leur être niée s’agissant du compte n° 2 ouvert dans les livres de la banque K. par L. qui en est le seul titulaire.</w:t>
      </w:r>
    </w:p>
    <w:p>
      <w:r>
        <w:rPr>
          <w:b/>
        </w:rPr>
        <w:t>E. 1.3</w:t>
      </w:r>
    </w:p>
    <w:p>
      <w:r>
        <w:t>Le délai de recours contre une décision de clôture est de 30 jours dès la communication écrite de la décision (80k EIMP). Déposé le 18 avril 2011 contre la décision notifiée le 17 mars 2011, le recours intervient en temps utile.</w:t>
      </w:r>
    </w:p>
    <w:p>
      <w:r>
        <w:rPr>
          <w:b/>
        </w:rPr>
        <w:t>E. 2</w:t>
      </w:r>
    </w:p>
    <w:p>
      <w:r>
        <w:t>Les recourants invoquent une violation du principe de proportionnalité. Ils font valoir que A. a été entendu en qualité de témoin dans le cadre de la procédure néerlandaise et que, à cette occasion, il aurait donné toute in- formation et produit toute pièce utiles relatives aux versements de EUR 315'000.-- effectué pour l’achat de la villa de D. et de EUR 1,15 mio perçu au titre de rémunération pour les services effectués en lien avec l’accord du 15 janvier 2002.</w:t>
      </w:r>
    </w:p>
    <w:p>
      <w:r>
        <w:rPr>
          <w:b/>
        </w:rPr>
        <w:t>E. 2.1</w:t>
      </w:r>
    </w:p>
    <w:p>
      <w:r>
        <w:t>Selon le principe de la proportionnalité, la question de savoir si les rensei- gnements demandés sont nécessaires ou simplement utiles à la procédure</w:t>
      </w:r>
    </w:p>
    <w:p>
      <w:r>
        <w:t>- 6 -</w:t>
      </w:r>
    </w:p>
    <w:p>
      <w:r>
        <w:t>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S’agissant de demandes relatives à des informations bancaires, il convient en principe de transmettre tous les documents qui peuvent faire référence aux soupçons exposés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à éclaircir le cheminement de fonds d'origine délictueuse, il convient d'informer l'Etat requérant de toutes les transactions opérées au nom des personnes physiques ou morales et par le biais des comptes impliqués dans l'affaire (ATF 121 II 241 consid. 3c). L’utilité de la documentation bancaire découle du fait que l’autorité requé- rante peut vouloir vérifier que les agissements qu’elle connaît déjà n’ont pas été précédés ou suivis d’autres actes du même genre (v. arrêts du Tri- bunal fédéral 1A.259/2006 du 26 janvier 2007, consid. 2.2; 1A.75/2006 du 20 juin 2006, consid. 3.2; 1A.79/2005 du 27 avril 2005, consid. 4.2; 1A.59/2005 du 26 avril 2005, consid. 6.2).</w:t>
      </w:r>
    </w:p>
    <w:p>
      <w:r>
        <w:rPr>
          <w:b/>
        </w:rPr>
        <w:t>E. 2.2</w:t>
      </w:r>
    </w:p>
    <w:p>
      <w:r>
        <w:t>L’autorité requérante enquête au sujet de possibles manœuvres corrupti- ves opérées par F. afin de favoriser la société G. a) Des fonds perçus par A. sur son compte ouvert auprès de la banque J. proviennent de D., qui les a lui-même reçus de F. ou de la société G. (v. supra, B). La participation de D. à ce transfert, ainsi que le flux de capitaux qui s’en est suivi, sont certainement des éléments d’enquête propres à faire avancer la procédure étrangère. Ces informations sont d’autant plus utiles à l’enquête étrangère qu’il semblerait que ces transferts d’argent trouvent leur origine dans l’accord du 15 janvier 2002. Lesdites informations permet-</w:t>
      </w:r>
    </w:p>
    <w:p>
      <w:r>
        <w:t>- 7 -</w:t>
      </w:r>
    </w:p>
    <w:p>
      <w:r>
        <w:t>tront tout particulièrement à l’autorité étrangère d’éclaircir les faits, cela d’autant plus que les déclarations des principaux intéressés semblent di- verger. En effet, le 5 février 2009, A. a affirmé à l’autorité requérante que F. lui avait versé directement les sommes en question (act. 1.20, p. 4, l. 25), ce qui semble contredit par les affirmations de D. (act. 1.2, p. 8). De même, A. a indiqué que l’accord du 15 janvier 2002 ne s’était pas matérialisé par une vente et n’aurait ainsi conduit à aucun autre versement (act. 1.20, p. 4, l. 21) de la part de F. ou d’une société à laquelle celui-ci est lié (act. 1.20, p. 6) tout en admettant son rôle de médiateur dans les ventes à l’armée égyp- tienne. Il a, à cet égard, indiqué à l’autorité requérante: « we agreed to use our contacts in the Egyptian navy. I cannot give you a more detailed an- swer because this is a sensitive subject. Sensitive in Egypt I mean » (act. 1.20, p. 6), ce qui pourrait laisser penser à tout le moins à une tentative de corruption. Ces déclarations nécessitent d’être vérifiées compte tenu des soupçons de corruption pesant sur F. En résumé, l’autorité requérante a un intérêt patent à vérifier si ce compte a servi à réceptionner d’autres fonds de D., F. ou de la société G., éventuellement en exécution du contrat du 15 janvier 2002. Le compte litigieux ouvert auprès de la banque J. a servi par ailleurs à payer D. dans le cadre du transfert de propriété de la maison en France à A. La documentation saisie contribuera ainsi à vérifier si ce transfert immo- bilier s’est bien fait grâce aux fonds propres de A., comme ce dernier l’affirmait à l’autorité requérante le 6 novembre 2008 (v. act. 1.18, p. 6). C’est le lieu de rappeler que l’entraide vise non seulement à recueillir des preuves à charge, mais également à décharge (arrêt du Tribunal pénal fé- déral RR.2008.287 du 9 avril 2009, consid. 2.2.4 et la jurisprudence citée) et que cette documentation permettra, le cas échéant, de confirmer les as- sertions de A. Il se justifie ainsi pleinement que l’autorité requérante ob- tienne la documentation relative à ce compte. b) Les documents saisis ont révélé l’existence du compte ouvert à la ban- que M. dont A. est le bénéficiaire et l’un des cotitulaires. Le compte de la banque J. a ainsi crédité le compte de la banque M. de la somme de EUR 200'000.-- en septembre 2004 (v. dossier du MPVd, pièces bancaires, fourre bleue relative aux relevés de la banque J., pièce M). Les fonds po- tentiellement corruptifs issus de F. ayant suivi des flux divers au travers des comptes de A. et de D., il se justifie de permettre à l’autorité requérante de vérifier si des fonds transférés du compte de la banque J. vers le compte de la banque M. n’ont pas ensuite été virés à l’un des acteurs des faits dé- crits dans la requête d’entraide.</w:t>
      </w:r>
    </w:p>
    <w:p>
      <w:r>
        <w:t>- 8 -</w:t>
      </w:r>
    </w:p>
    <w:p>
      <w:r>
        <w:t>Au vu de ce qui précède, il appert que l’autorité requérante dispose d’un in- térêt manifeste à consulter les pièces faisant objet de la demande.</w:t>
      </w:r>
    </w:p>
    <w:p>
      <w:r>
        <w:rPr>
          <w:b/>
        </w:rPr>
        <w:t>E. 2.3</w:t>
      </w:r>
    </w:p>
    <w:p>
      <w:r>
        <w:t>Les recourants objectent que cette mesure aurait pu être atteinte égale- ment en requérant ces pièces directement auprès des titulaires des comp- tes concernés. Cet argument tombe à faux. En effet, conformément à la ju- risprudence déjà rappelée (supra consid. 2.1), lorsque la demande vise à éclaircir le cheminement de fonds d'origine délictueuse, il convient d'infor- mer l'Etat requérant de toutes les transactions opérées au nom des per- sonnes et par le biais des comptes impliqués dans l'affaire (ATF 121 II 241 consid. 3c; arrêts du Tribunal fédéral 1C.403/2007 du 20 novembre 2007, consid. 2.3; 1A.79/2005 du 27 avril 2005, consid. 4.1). La production de la documentation bancaire par la banque est le seul moyen de garantir que toutes les transactions opérées figurent dans les pièces transmises. La re- mise des pièces par les recourants n’offre pas à l’autorité requérante la cer- titude que ceux-ci n’auraient pas ôté certaines pièces. Cette précaution paraît d’autant plus légitime dans la présente espèce dès lors que A. a in- diqué à l’autorité requérante, au sujet des EUR 1,2 mio perçus en exécu- tion du contrat du 15 janvier 2002: « I do not want to tell you into which [swiss] account [the money has been paid] » (act. 1.20, p. 4, l. 25). Dès lors, c’est en contradiction avec les pièces du dossier que les recourants al- lèguent que « il aurait suffit [aux autorités néerlandaises] de demander à A. de leur fournir directement toute la documentation utile complémentaire, ce que ce dernier n’aurait bien évidemment pas manqué de faire » (mémoire de recours, act. 1, p. 12, § 50).</w:t>
      </w:r>
    </w:p>
    <w:p>
      <w:r>
        <w:rPr>
          <w:b/>
        </w:rPr>
        <w:t>E. 2.4</w:t>
      </w:r>
    </w:p>
    <w:p>
      <w:r>
        <w:t>Enfin, l’argument des recourants selon lequel la transmission de pièce concernant B. et C. serait disproportionné du fait qu’elles ne font pas l’objet de la procédure pénale aux Pays-Bas, tombe à faux. En effet,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 tions en Suisse soient nécessaires pour les besoins de cette procédure (ar- rêt du Tribunal fédéral 1A.218/2002 du 9 janvier 2003, consid. 3.2; arrêts du Tribunal pénal fédéral RR.2009.64 du 27 août 2009, consid. 5.8 et RR.2008.209 du 14 janvier 2009, consid. 2). Les noms de B. et C. seront utiles à l’autorité requérante pour déterminer si certains des fonds présu- més corruptifs ont été transférés sur des comptes dont ces recourants sont les titulaires. Il n’y a dès lors pas lieu de caviarder la documentation ban- caire saisie en y ôtant l’identité des recourants.</w:t>
      </w:r>
    </w:p>
    <w:p>
      <w:r>
        <w:t>- 9 -</w:t>
      </w:r>
    </w:p>
    <w:p>
      <w:r>
        <w:rPr>
          <w:b/>
        </w:rPr>
        <w:t>E. 3</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recourants supporteront les frais du présent ar- rêt, lesquels sont fixés à CHF 5'000.-- (art. 73 al. 2 LOAP et art. 8 al. 3 du règlement du Tribunal pénal fédéral sur les frais, émoluments, dépens, et indemnités de la procédure pénale fédérale [RFPPF; RS 173.713.162] et art. 63 al. 5 PA), couverts par l’avance de frais déjà versée.</w:t>
      </w:r>
    </w:p>
    <w:p>
      <w:r>
        <w:t>- 10 -</w:t>
      </w:r>
    </w:p>
    <w:p>
      <w:r>
        <w:t>Par ces motifs, la IIe Cour des plaintes prononce:</w:t>
      </w:r>
    </w:p>
    <w:p>
      <w:r>
        <w:t>1. Le recours est rejeté dans la mesure de sa recevabilité.</w:t>
      </w:r>
    </w:p>
    <w:p>
      <w:r>
        <w:t>2. Un émolument de CHF 5’000.--, couvert par l’avance de frais déjà versée, est mis à la charge des recourants.</w:t>
      </w:r>
    </w:p>
    <w:p>
      <w:r>
        <w:t>Bellinzone, le 11 juillet 2011</w:t>
      </w:r>
    </w:p>
    <w:p>
      <w:r>
        <w:t>Au nom de la IIe Cour des plaintes du Tribunal pénal fédéral</w:t>
      </w:r>
    </w:p>
    <w:p>
      <w:r>
        <w:t>La présidente:</w:t>
      </w:r>
    </w:p>
    <w:p>
      <w:r>
        <w:t>Le greffier:</w:t>
      </w:r>
    </w:p>
    <w:p>
      <w:r>
        <w:t>Distribution</w:t>
      </w:r>
    </w:p>
    <w:p>
      <w:r>
        <w:t>- Me Benjamin Borsodi, avocat - Ministère public central, Division entraide, criminalité économique et infor- matique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