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RR.2011.91 vom 4. Juli 2011</w:t>
      </w:r>
    </w:p>
    <w:p>
      <w:r>
        <w:t>Bundesstrafgericht, 2011-07-04, DE</w:t>
      </w:r>
    </w:p>
    <w:p>
      <w:r>
        <w:rPr>
          <w:b/>
        </w:rPr>
        <w:t xml:space="preserve">Quelle: </w:t>
      </w:r>
      <w:r>
        <w:t>https://mcp.opencaselaw.ch/entscheid/bstger_RR.2011.91</w:t>
      </w:r>
    </w:p>
    <w:p>
      <w:r>
        <w:t>FR: TPF RR.2011.91 du 4 juillet 2011</w:t>
      </w:r>
    </w:p>
    <w:p>
      <w:r>
        <w:t>IT: TPF RR.2011.91 del 4 luglio 2011</w:t>
      </w:r>
    </w:p>
    <w:p>
      <w:pPr>
        <w:pStyle w:val="Heading2"/>
      </w:pPr>
      <w:r>
        <w:t>Regeste</w:t>
      </w:r>
    </w:p>
    <w:p>
      <w:r>
        <w:t>Auslieferung an Deutschland. Auslieferungsentscheid (Art. 55 IRSG).</w:t>
      </w:r>
    </w:p>
    <w:p>
      <w:pPr>
        <w:pStyle w:val="Heading2"/>
      </w:pPr>
      <w:r>
        <w:t>Erwägungen</w:t>
      </w:r>
    </w:p>
    <w:p>
      <w:r>
        <w:rPr>
          <w:b/>
        </w:rPr>
        <w:t>E. 28</w:t>
      </w:r>
    </w:p>
    <w:p>
      <w:r>
        <w:t>März 2011 auch nach Eingang der Beschwerde seines Rechtsvertre- ters festzuhalten scheint (RR.2011.89 act. 5). Die Beschwerdeverfahren RR.2011.89 und RR.2011.91 sind daher zu vereinigen und gemeinsam im Rahmen des vorliegenden Entscheides zu behandeln.</w:t>
      </w:r>
    </w:p>
    <w:p>
      <w:r>
        <w:t>5.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bundesgerichtlichen Rechtsprechung muss sich die urteilende In- stanz sodann nicht mit allen Parteistandpunkten einlässlich auseinander-</w:t>
      </w:r>
    </w:p>
    <w:p>
      <w:r>
        <w:t>- 5 -</w:t>
      </w:r>
    </w:p>
    <w:p>
      <w:r>
        <w:t>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t>6. Der Beschwerdeführer stellt den Antrag auf eine persönliche Anhörung durch das Bundesstrafgericht (RR.2011.89 act. 1 S. 7).</w:t>
      </w:r>
    </w:p>
    <w:p>
      <w:r>
        <w:t>Im Rahmen der Beschwerde in Auslieferungssachen ans Bundesstrafge- richt schreiben weder das VwVG noch das IRSG eine mündliche öffentliche Verhandlung vor, vielmehr ist das Verfahren vor der II. Beschwerdekammer des Bundesstrafgerichts grundsätzlich schriftlich. Eine mündliche Partei- verhandlung kann nach richterlichem Ermessen angeordnet werden (Art. 57 Abs. 2 VwVG). Dies kann insbesondere nötig sein, wenn Beweis- erhebungen durch das Gericht sachlich notwendig erscheinen oder wenn die grundrechtlich garantierten Parteirechte eine öffentliche Anhörung ver- langen. Art. 6 Ziff. 1 EMRK schreibt eine öffentliche Parteianhörung bei Verfahren betreffend zivilrechtliche Ansprüche und Verpflichtungen vor so- wie bei Urteilen über strafrechtliche Anklagen. Bei der Prüfung von Auslie- ferungsersuchen geht es weder um zivilrechtliche Ansprüche und Verpflich- tungen noch unmittelbar um eine strafrechtliche Anklage. Das Rechtshilfe- verfahren stellt kein Strafverfahren dar, bei dem durch den Rechtshilferich- ter über die allfällige Schuld und Strafe zu entscheiden wäre. Vielmehr werden Rechtshilfeverfahren als verwaltungsrechtliche Streitsachen be- trachtet, was auch für Auslieferungsverfahren gilt (Urteile des Bundesge- richtes 1A.247/2005 vom 25. Oktober 2005, E. 2.2; 1A.225/2003 vom 25. November 2003, E. 1.5, je m.w.H.; vgl. auch Entscheid des Bundes- strafgerichts RR.2008.283-284 vom 24. März 2009, E. 15). Demnach ist dem Verfahrensantrag auf mündliche Verhandlung keine Fol- ge zu leisten. 7.</w:t>
      </w:r>
    </w:p>
    <w:p>
      <w:r>
        <w:t>7.1 Der Beschwerdeführer macht sodann geltend, bei einer Auslieferung der Gefahr ausgesetzt zu werden, dass die deutschen Behörden ihm gegen- über eine nachträgliche Sicherheitsverwahrung aussprechen könnten. Dies würde zur Folge haben, dass er unter Umständen nach Verbüssung seiner Reststrafe im Oktober 2011 für weitere 10 Jahre verwahrt werde. Zwar sei die nachträglich angeordnete Sicherheitsverwahrung vom Europäischen Gerichtshof für Menschenrechte mit Entscheid vom 17. Dezember 2009 für menschenrechtswidrig erklärt worden, und Deutschland habe im Dezember</w:t>
      </w:r>
    </w:p>
    <w:p>
      <w:r>
        <w:t>- 6 -</w:t>
      </w:r>
    </w:p>
    <w:p>
      <w:r>
        <w:t>2010 ein neues Reformgesetz verabschiedet, mit der die nachträgliche Si- cherheitsverwahrung für neue Fälle grundsätzlich abgeschafft worden sei. Dies gelte aber nicht für diejenigen Personen, die wie der Beschwerdefüh- rer bereits in Haft sitzen würden. In Anbetracht der unsicheren Rechtslage bzw. der unsicheren Folgen einer allfälligen Auslieferung dränge es sich auf, dass die Beschwerdegegnerin beim hessischen Justizministerium eine verbindliche Erklärung verlange müsse, mit der zugesichert werde, dass gegenüber dem Beschwerdeführer keine Sicherheitsverwahrung ausge- sprochen werde (act. 1 S. 6 ff. und RP.2011.89 act. 1 S. 1 ff.).</w:t>
      </w:r>
    </w:p>
    <w:p>
      <w:r>
        <w:t>7.2 Die Schweiz prüft die Auslieferungsvoraussetzungen des EAUe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Die Prüfung des genannten Ausschlussgrundes setzt ein Werturteil über das politische System des ersuchenden Staates, seiner Institutionen, seines Verständnisses von Grundrechten und deren effektive Gewährleis- tung sowie über die Unabhängigkeit und Unparteilichkeit der Justiz voraus. Der Rechtshilferichter muss bei der Beurteilung über die effektive Gewähr- leistung der Grundrechte im ersuchenden Staat besondere Zurückhaltung walten lassen. Es genügt nicht, dass sich die Person, deren Auslieferung verlangt wird, auf die besonderen juristisch-politischen Verhältnisse im er- suchenden Staat beruft. Der Verfolgte muss vielmehr glaubhaft machen, dass objektiv und ernsthaft eine schwerwiegende Verletzung der Men- schenrechte im ersuchenden Staat zu befürchten ist, die ihn unmittelbar berührt (vgl. BGE 123 II 511 E. 5b S. 517; 112 Ib 215 E. 7 S. 224; 109 Ib 64 E. 5b/aa S. 73).</w:t>
      </w:r>
    </w:p>
    <w:p>
      <w:r>
        <w:t>7.3 Vorliegend bestehen keine konkreten Anhaltspunkte dafür, dass das Straf- bzw. das Strafvollzugsverfahren in Deutschland gegen den Beschwerde- führer nicht den internationalen Menschenrechts- und Verfahrensgarantien entsprechen würde. Von der Unterbringung des Beschwerdeführers in der Sicherungsverwahrung im Sinne von § 66 des deutschen Strafgesetzbu- ches (StGB) hatte das Landgericht Hanau mit Urteil vom 5. Septem- ber 2002 ausdrücklich abgesehen (act. 5.6 S. 18). Eine nachträgliche An- ordnung der Sicherheitsverwahrung wurde erst mit dem am 23. Juli 2004 in Kraft getretenen Gesetz zur Einführung der nachträglichen Sicherungsver- wahrung (Bundesgesetzblatt, Jahrgang 2004 Teil I Nr. 39, ausgegeben zu</w:t>
      </w:r>
    </w:p>
    <w:p>
      <w:r>
        <w:t>- 7 -</w:t>
      </w:r>
    </w:p>
    <w:p>
      <w:r>
        <w:t>Bonn am 29. Juli 2004) möglich. Der neu geschaffene § 66b StGB erlaubte die nachträgliche Anordnung der Unterbringung in der Sicherungsverwah- rung bei Verurteilungen wegen Verbrechen gegen das Leben, die körperli- che Unversehrtheit, die persönliche Freiheit oder die sexuelle Selbstbe- stimmung oder wegen schweren Raubes oder Raubes mit Todesfolgen. Der Europäischen Gerichtshof für Menschenrechte und das Bundesverfas- sungsgericht erklärten mit Entscheiden vom 13. Januar 2011 bzw. 4. Mai 2011 die derzeit geltende Fassung von § 66b StGB für EMRK- und verfassungswidrig (EGMR Nr. 6587/04 (5. Kammer) - Urteil vom 13. Januar 2011 [Haidn v. Deutschland] sowie BVerfG, 2 BvR 2365/09 vom 4.5.2011, Absatz-Nr. 1 - 178). Im Sinne einer Übergangsregelung hielt das Bundes- verfassungsgericht in seinem Entscheid fest, dass bis zum Inkrafttreten ei- ner gesetzlichen Neuregelung bzw. bis spätestens zum 31. Mai 2013 in sog. Altfällen (d.h. Verurteilung für Taten, die vor dem 1. Dezember 2010 begangen wurden) die nachträgliche Sicherheitsverwahrung nur angeord- net werden dürfe, wenn eine hochgradige Gefahr schwerster Gewalt- oder Sexualstraftaten aus konkreten Umständen in der Person oder deren Ver- halten abzuleiten ist und diese an einer psychischen Störung im Sinne von § 1 Abs. 1 Nr. 1 des Therapieunterbringungsgesetzes leide (BVerfG, 2 BvR 2365/09 vom 4.5.2011, Absatz Nr. 171 ff.).</w:t>
      </w:r>
    </w:p>
    <w:p>
      <w:r>
        <w:t>Da der Beschwerdeführer wegen Betrugs, Computerbetrugs und Dieb- stahls und nicht wegen eines in § 66b aufgelisteten Delikts verurteilt wurde, ist von vornherein nicht ersichtlich, inwiefern er von der Möglichkeit einer nachträglichen Anordnung der Sicherungsverwahrung betroffen sein sollte. Ob letztlich eine derartige Möglichkeit besteht, wird jedoch durch die zu- ständigen deutschen Behörden und nicht durch den Rechtshilferichter zu beantworten sein. Sollte wider aller Wahrscheinlichkeit gegen den Be- schwerdeführer die Sicherheitsverwahrung nachträglich angeordnet wer- den, ist davon auszugehen, dass ihm in Deutschland sämtliche Verteidi- gungsrechte und ein umfassender Rechtsschutz zustünden, denn Deutsch- land ist Vertragspartei der EMRK und hat sich als solche allgemein ver- pflichtet, die in der EMRK niedergelegten Rechte zu gewähren. Dies wird im Übrigen auch vom Beschwerdeführer nicht bezweifelt; er geht sogar da- von aus, dass er gute Aussichten hätte, sich gegen eine Anordnung einer nachträglichen Sicherheitsverwahrung zu wehren (act. 1 S. 7, Rz. 22). Der Umstand, dass der Beschwerdeführer allenfalls ein Rechtsmittelverfahren zu durchlaufen hätte, vermag – entgegen der Ansicht des Beschwerdefüh- rers – nicht zur Aufhebung des Auslieferungsentscheides zu führen. Es liegt in der Natur der Sache, dass ein Rechtsmittelverfahren stets eine ge- wisse Zeit in Anspruch nimmt, was vom Beschwerdeführer aber hinzuneh- men ist, selbst wenn er HIV-positiv ist. Demnach verstösst die Auslieferung</w:t>
      </w:r>
    </w:p>
    <w:p>
      <w:r>
        <w:t>- 8 -</w:t>
      </w:r>
    </w:p>
    <w:p>
      <w:r>
        <w:t>des Beschwerdeführers nicht gegen Art. 2 IRSG. Die Beschwerde erweist sich in diesem Punkt als unbegründet.</w:t>
      </w:r>
    </w:p>
    <w:p>
      <w:r>
        <w:t>7.4 Fehlt eine glaubhaft gemachte, konkrete Gefahr, ist auch die vom Be- schwerdeführer eventualiter beantragte Zusicherung des hessischen Justizministeriums, wonach keine nachträgliche Sicherheitsverwahrung an- geordnet werde, nicht erforderlich. Damit ist der Eventualantrag ohne wei- teres abzuweisen.</w:t>
      </w:r>
    </w:p>
    <w:p>
      <w:r>
        <w:t>8. Andere Auslieferungshindernisse werden weder geltend gemacht, noch sind solche ersichtlich. Zusammengefasst ergibt sich, dass die Auslieferung an Deutschland zulässig und die Beschwerde unbegründet ist.</w:t>
      </w:r>
    </w:p>
    <w:p>
      <w:r>
        <w:t>9. Der Beschwerdeführer beantragt schliesslich, es sei ihm die unentgeltliche Rechtspflege zu gewähren (RP.2011.14 act. 1 und RP.2011.15 act. 1 S. 2, 8). Der Beschwerdeführer befinde sich in Auslieferungshaft und entspre- chend sei zur Wahrung seiner Interessen ein Rechtsbeistand erforderlich. Er verfüge aufgrund seiner Situation als Laie im Gefängnis weder über die Mittel noch die erforderlichen Rechtskenntnisse um eine Beschwerdefrist zu verfassen. Im Rahmen der Auslieferungshaft könne er zudem keiner Erwerbstätigkeit nachgehen.</w:t>
      </w:r>
    </w:p>
    <w:p>
      <w:r>
        <w:t>9.1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zurzeit, zu der das Gesuch um unentgelt- liche Rechtspflege gestellt wird (BGE 129 I 129 E. 2.3.1; 128 I 225 E. 2.5.3; 124 I 304 E. 2c).</w:t>
      </w:r>
    </w:p>
    <w:p>
      <w:r>
        <w:t>9.2 Die Auslieferung des Beschwerdeführers an Deutschland ist offensichtlich zulässig, und seine Begehren müssen als aussichtslos bezeichnet werden.</w:t>
      </w:r>
    </w:p>
    <w:p>
      <w:r>
        <w:t>- 9 -</w:t>
      </w:r>
    </w:p>
    <w:p>
      <w:r>
        <w:t>Das Gesuch um unentgeltliche Rechtspflege und Verbeiständung ist somit abzuweisen. Der vermutungsweise schwierigen finanziellen Situation kann aber gemäss Art. 5 des Reglements des Bundesstrafgerichts vom</w:t>
      </w:r>
    </w:p>
    <w:p>
      <w:r>
        <w:rPr>
          <w:b/>
        </w:rPr>
        <w:t>E. 31</w:t>
      </w:r>
    </w:p>
    <w:p>
      <w:r>
        <w:t>August 2010 über die Kosten, Gebühren und Entschädigungen in Bun- desstrafverfahren (BStKR; SR 173.713.162) i.V.m. Art. 63 Abs. 4bis VwVG mit einer reduzierten Gerichtsgebühr Rechnung getragen werden.</w:t>
      </w:r>
    </w:p>
    <w:p>
      <w:r>
        <w:t>10. 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 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