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RR.2011.88 vom 15. April 2011</w:t>
      </w:r>
    </w:p>
    <w:p>
      <w:r>
        <w:t>Bundesstrafgericht, 2011-04-15, DE</w:t>
      </w:r>
    </w:p>
    <w:p>
      <w:r>
        <w:rPr>
          <w:b/>
        </w:rPr>
        <w:t xml:space="preserve">Quelle: </w:t>
      </w:r>
      <w:r>
        <w:t>https://mcp.opencaselaw.ch/entscheid/bstger_RR.2011.88</w:t>
      </w:r>
    </w:p>
    <w:p>
      <w:r>
        <w:t>FR: TPF RR.2011.88 du 15 avril 2011</w:t>
      </w:r>
    </w:p>
    <w:p>
      <w:r>
        <w:t>IT: TPF RR.2011.88 del 15 aprile 2011</w:t>
      </w:r>
    </w:p>
    <w:p>
      <w:pPr>
        <w:pStyle w:val="Heading2"/>
      </w:pPr>
      <w:r>
        <w:t>Regeste</w:t>
      </w:r>
    </w:p>
    <w:p>
      <w:r>
        <w:t>Auslieferung an Österreich. Auslieferungshaftbefehl (Art. 48 Abs. 2 IRSG). Unentgeltliche Rechtspflege.</w:t>
      </w:r>
    </w:p>
    <w:p>
      <w:pPr>
        <w:pStyle w:val="Heading2"/>
      </w:pPr>
      <w:r>
        <w:t>Erwägungen</w:t>
      </w:r>
    </w:p>
    <w:p>
      <w:r>
        <w:rPr>
          <w:b/>
        </w:rPr>
        <w:t>E. 9</w:t>
      </w:r>
    </w:p>
    <w:p>
      <w:r>
        <w:t>März 2011 ersuchten die österreichischen Behörden um Verhaftung des deutschen Staatsangehörigen A. zwecks Auslieferung (act. 4.1). Die Aus- lieferung wird gestützt auf den Europäischen Haftbefehl vom 1. März 2011 verlangt, welchem die Anordnung der Festnahme der Staatsanwaltschaft Wien vom 18. Februar 2011 zugrunde liegt (act. 4.6; act. 7.1). Darin wer- den A. diverse Vermögens- und Konkursdelikte im Zusammenhang mit dem Handel von Streichinstrumenten vorgeworfen. Zwischen Oktober 2004 bis dato soll er sich u.a. mit Bereicherungsabsicht ihm anvertraute und in Kommission übergebene Streichinstrumente angeeignet haben, indem er weder den erzielten Kaufpreis an die Berechtigten weitergeleitet noch die Instrumente zurückgegeben habe. Dabei soll es sich um wertvolle Streich- instrumente mit einem Gesamtwert von mehreren Millionen EUR gehandelt haben. Die Anordnung der Festnahme der Staatsanwaltschaft Wien vom 18. Februar 2011 wurde gleichentags vom zuständigen Landesgericht be- willigt (act. 7.1).</w:t>
      </w:r>
    </w:p>
    <w:p>
      <w:r>
        <w:t>B. In der Folge wurde A. am 16. März 2011 in X. (Schweiz) festgenommen (act. 4.3) und gestützt auf eine Haftanordnung des Bundesamtes für Justiz (nachfolgend „BJ“) vom gleichen Tag in provisorische Auslieferungshaft versetzt (act. 4.2). Anlässlich seiner Einvernahme vom 17. März 2011 er- klärte A., mit einer vereinfachten Auslieferung nicht einverstanden zu sein (act. 4.4). Das BJ erliess daraufhin am 18. März 2011 einen Auslieferungs- haftbefehl, welcher A. am 23. März 2011 eröffnet (act. 4.9) und von diesem am 29. März 2011 angefochten wurde (s. nachfolgend lit. E.).</w:t>
      </w:r>
    </w:p>
    <w:p>
      <w:r>
        <w:t>C. Nach der Verhaftung von A. in der Schweiz erliess die Staatsanwaltschaft Wien am 17. März 2011 eine ergänzende Anordnung der Festnahme, wel- che noch zusätzliche Sachverhaltsvorwürfe gegenüber A. enthielt. Diese Anordnung wurde vom zuständigen Landesgericht am 17. März 2011 be- willigt (act. 4.6). Entsprechend sei gemäss den Angaben des BJ am 17. März 2011 die Ausschreibung im Schengener Informationssystem (SIS) vom 9. März 2011 ergänzt worden (act. 4 S. 1).</w:t>
      </w:r>
    </w:p>
    <w:p>
      <w:r>
        <w:t>D. Mit Schreiben vom 22. März 2011, ergänzt am 30. März 2011, ersuchte das Bundesministerium für Justiz in Wien die Schweiz formell um Auslieferung von A. für die Letzterem im Europäischen Haftbefehl sowie in der ergän- zenden Anordnung zur Last gelegten Straftaten (act. 4.10 und 4.15).</w:t>
      </w:r>
    </w:p>
    <w:p>
      <w:r>
        <w:t>- 3 -</w:t>
      </w:r>
    </w:p>
    <w:p>
      <w:r>
        <w:t>E. Mit Eingabe vom 29. März 2011 gelangte A. an die II. Beschwerdekammer des Bundesstrafgerichts und beantragt seine umgehende Freilassung aus der Auslieferungshaft (act. 1). Als Eventualantrag verlangt er die Anord- nung seiner Entlassung in Verbindung mit der Anordnung von Ersatzmass- nahmen wie einer Pass- und Schriftensperre und einer Meldepflicht oder die elektronische Überwachung. Subenventualier beantragt er, es sei ihm im Rahmen der Fortdauer der Auslieferungshaft der freie Zugang und die Nutzung eines Telefons sowie elektronischer Kommunikationsmittel (Tele- fax / E-Mail) zu gestatten (act. 1 S. 2). Mit Eingabe vom 4. April 2011 er- gänzt der Beschwerdeführer seine Beschwerde mit dem Antrag auf unver- zügliche Aufhebung des Auslieferungshaftbefehls und umgehende Entlas- sung aus der Auslieferungshaft. Zur Begründung verweist er auf die ergän- zende Anordnung vom 17. März 2011, wonach als Gültigkeitsdauer des Haftbefehls nur der Zeitraum bis zum 1. April 2011 bewilligt worden sei (act. 5 S. 2).</w:t>
      </w:r>
    </w:p>
    <w:p>
      <w:r>
        <w:t>Das BJ beantragt mit Beschwerdeantwort vom 4. April 2011 die kostenfälli- ge Abweisung der Beschwerde (act. 4). Zum Antrag vom 4. April 2011 der Gegenpartei nahm es mit Eingabe vom 8. April 2011 Stellung (act. 7). Der Beschwerdeführer lässt mit seiner Beschwerdereplik vom 8. April 2011 an seinen gestellten Anträgen festhalten (act. 8).</w:t>
      </w:r>
    </w:p>
    <w:p>
      <w:r>
        <w:t>Mit Eingabe vom 11. April 2011 stellt der Beschwerdeführer zudem den An- trag, es sei festzustellen, dass der Beschwerdeführer vom 2. April bis zum 7. April 2011 unrechtmässig in Auslieferungshaft gehalten worden sei (act. 9), worüber das BJ noch am gleichen Tag in Kenntnis gesetzt wurde (act. 10).</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Österreich sind primär das Europäische Ausliefe- rungsübereinkommen vom 13. Dezember 1957 (EAUe; SR 0.353.1), das zu diesem Übereinkommen am 17. März 1978 ergangene zweite Zusatz- protokoll (2. ZP; SR 0.353.12), welchem beide Staaten beigetreten sind, sowie der Vertrag zwischen der Schweizerischen Eidgenossenschaft und der Republik Österreich über die Ergänzung des Europäischen Ausliefe-</w:t>
      </w:r>
    </w:p>
    <w:p>
      <w:r>
        <w:t>- 4 -</w:t>
      </w:r>
    </w:p>
    <w:p>
      <w:r>
        <w:t>rungsübereinkommens und die Erleichterung seiner Anwendung vom</w:t>
      </w:r>
    </w:p>
    <w:p>
      <w:r>
        <w:rPr>
          <w:b/>
        </w:rPr>
        <w:t>E. 9.1</w:t>
      </w:r>
    </w:p>
    <w:p>
      <w:r>
        <w:t>Subeventualiter beantragt der Beschwerdeführer, es sei ihm sowohl der Zugang zu einem Telefon als auch zu elektronischen Kommunikationsmit- teln wie Internet und E-Mail zu gewähren, damit er zumindest die notwen- digsten Geschäfte für die B. GmbH tätigen könne. Gegen eine Überwa- chung seiner Telefonate und die elektronische Korrespondenz zur Verhin- derung einer allfälligen, aber nicht zu befürchtenden „Verdunkelung“ habe er nichts einzuwenden (act. 1 S. 11 f.).</w:t>
      </w:r>
    </w:p>
    <w:p>
      <w:r>
        <w:rPr>
          <w:b/>
        </w:rPr>
        <w:t>E. 9.2</w:t>
      </w:r>
    </w:p>
    <w:p>
      <w:r>
        <w:t>Im Beschwerdeverfahren gegen den Auslieferungshaftbefehl sind die Aus- lieferungshaftvoraussetzungen zu prüfen. Die Vollzugsmodalitäten der Aus- lieferungshaft unterliegen demgegenüber nicht der Beschwerde gegen den Auslieferungshaftbefehl. Daher ist vorliegend über den gestellten Antrag nicht zu befinden. Der Beschwerdeführer ist mit seinem Antrag an das BJ zu verweisen (s. Art. 49 Abs. 1 IRSG i.V.m. Art. 20 Abs. 1 und 2 IRSV).</w:t>
      </w:r>
    </w:p>
    <w:p>
      <w:r>
        <w:t>- 16 -</w:t>
      </w:r>
    </w:p>
    <w:p>
      <w:r>
        <w:t>10.</w:t>
      </w:r>
    </w:p>
    <w:p>
      <w:r>
        <w:t>10.1 Nach Erstattung der Replik beantragte der Beschwerdeführer mit Eingabe vom 11. April 2011, es sei festzustellen, dass der Beschwerdeführer vom 2. April bis zum 7. April 2011 unrechtsmässig in Auslieferungshaft gehalten worden sei (act. 9). Er habe sowohl ein rechtliches als auch tatsächliches Interesse an der Feststellung, ob die Auslieferungshaft im erwähnten Zeit- raum unrechtmässig gewesen sei (act. 9 S. 2).</w:t>
      </w:r>
    </w:p>
    <w:p>
      <w:r>
        <w:t>10.2 Vorliegend ist die II. Beschwerdekammer auf die Beschwerde des Be- schwerdeführers gegen den Auslieferungshaftbefehl eingetreten und nach Prüfung seiner Rügen zum Schluss gekommen, dass keine Gründe aus- zumachen sind, welche eine ausnahmsweise Aufhebung der Ausliefe- rungshaft als angezeigt erscheinen zu lassen vermöchten. Weshalb er dar- über hinaus ein Interesse an der Feststellung haben soll, ob die Ausliefe- rungshaft während eines gewissen Zeitraums unrechtmässig gewesen sei, hat er nicht ausgeführt und ist nicht ersichtlich. Soweit der Beschwerdefüh- rer an der Feststellung deshalb interessiert sein sollte, weil er daraus allen- falls Schadenersatz- oder Genugtuungsansprüche ableiten möchte, ist er auf Art. 15 IRSG zu verweisen. Danach entscheidet das Bundesamt in ers- ter Instanz über Entschädigungsbegehren für ungerechtfertigte Ausliefe- rungshaft. Gegen den Entscheid des Bundesamtes kann in der Folge bei der II. Beschwerdekammer Beschwerde geführt werden. Nach dem Gesag- ten ist auf das Feststellungsbegehren nicht einzutreten.</w:t>
      </w:r>
    </w:p>
    <w:p>
      <w:r>
        <w:t>11. Die Beschwerde erweist sich somit gesamthaft als unbegründet und ist da- her abzuweisen.</w:t>
      </w:r>
    </w:p>
    <w:p>
      <w:r>
        <w:t>12.</w:t>
      </w:r>
    </w:p>
    <w:p>
      <w:r>
        <w:t>12.1 Der Beschwerdeführer stellt das Gesuch um Gewährung der unentgeltli- chen Prozessführung und Rechtsvertretung. Zur Begründung führt er seine prekäre finanzielle Situation an (act. 8 S. 5 ff.). Der Rechtsvertreter des Be- schwerdeführers macht unter Hinweis auf den Tatbestand der Geldwäsche- rei geltend, es sei ihm weder möglich noch zuzumuten, vom Beschwerde- führer irgendwelche Geldern entgegenzunehmen, da diesem u.a. Konkurs- und Betrugsdelikte über einen langen Zeitraum vorgeworfen werden. Er stellt sich auf den Standpunkt, bereits aus diesem Grund sei das Gesuch um unentgeltliche Verbeiständung gutzuheissen (RP.2011.13, act. 3 S. 8).</w:t>
      </w:r>
    </w:p>
    <w:p>
      <w:r>
        <w:t>12.2 Die II. Beschwerdekammer befreit eine Partei, die nicht über die erforderli- chen Mittel verfügt, auf Antrag von der Bezahlung der Verfahrenskosten, sofern ihr Begehren nicht aussichtslos erscheint (Art. 65 Abs. 1 VwVG i.V.m. Art. 39 Abs. 2 lit. b StBOG) und bestellt dieser einen Anwalt, wenn</w:t>
      </w:r>
    </w:p>
    <w:p>
      <w:r>
        <w:t>- 17 -</w:t>
      </w:r>
    </w:p>
    <w:p>
      <w:r>
        <w:t>dies zur Wahrung ihrer Rechte notwendig ist (Art. 65 Abs. 2 VwVG i.V.m. Art. 39 Abs. 2 lit. b StBOG).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(BGE 129 I 129 E. 2.3.1; 128 I 225 E. 2.5.3; 124 I 30 E. 2c).</w:t>
      </w:r>
    </w:p>
    <w:p>
      <w:r>
        <w:t>12.3 Ausgehend von den vorgebrachten Rügen (Ziff. 5 – 11) erwies sich die Be- schwerde als aussichtslos im Sinne von Art. 65 Abs. 1 VwVG. Folglich ist das Begehren des Beschwerdeführers um unentgeltliche Prozessführung und Rechtsvertretung bereits aus diesem Grunde abzuweisen. Was das geltend gemachte Risiko des Rechtsvertreters anbelangt, sich durch die Annahme von Geldern des Beschwerdeführers dem Vorwurf der Geldwä- scherei auszusetzen, setzt dieses voraus, dass der Beschwerdeführer über die betreffenden finanziellen Mittel verfügt, was von diesem vorliegend ge- rade bestritten wird.</w:t>
      </w:r>
    </w:p>
    <w:p>
      <w:r>
        <w:rPr>
          <w:b/>
        </w:rPr>
        <w:t>E. 13</w:t>
      </w:r>
    </w:p>
    <w:p>
      <w:r>
        <w:t>Bei diesem Ausgang des Verfahrens hat der Beschwerdeführer die Ge- richtskosten selber zu tragen (Art. 63 Abs. 1 VwVG i.V.m. Art. 39 Abs. 2 lit. b StBOG). Für die Berechnung der Gerichtsgebühren gelangt Art. 5 des Reglements des Bundesstrafgerichts vom 31. August 2010 über die Kos- ten, Gebühren und Entschädigungen in Bundesstrafverfahren (BStKR; SR 173.713.162 i.V.m. Art. 63 Abs. 4bis VwVG und Art. 63 Abs. 5 VwVG) zur Anwendung. Unter Berücksichtigung aller Umstände ist die Gerichtsge- bühr vorliegend auf Fr. 3’000.-- festzusetzen.</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