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RR.2011.8 vom 12. Dezember 2011</w:t>
      </w:r>
    </w:p>
    <w:p>
      <w:r>
        <w:t>Bundesstrafgericht, 2011-12-12, DE</w:t>
      </w:r>
    </w:p>
    <w:p>
      <w:r>
        <w:rPr>
          <w:b/>
        </w:rPr>
        <w:t xml:space="preserve">Quelle: </w:t>
      </w:r>
      <w:r>
        <w:t>https://mcp.opencaselaw.ch/entscheid/bstger_RR.2011.8</w:t>
      </w:r>
    </w:p>
    <w:p>
      <w:r>
        <w:t>FR: TPF RR.2011.8 du 12 décembre 2011</w:t>
      </w:r>
    </w:p>
    <w:p>
      <w:r>
        <w:t>IT: TPF RR.2011.8 del 12 dicembre 2011</w:t>
      </w:r>
    </w:p>
    <w:p>
      <w:pPr>
        <w:pStyle w:val="Heading2"/>
      </w:pPr>
      <w:r>
        <w:t>Regeste</w:t>
      </w:r>
    </w:p>
    <w:p>
      <w:r>
        <w:t>Internationale Rechtshilfe in Strafsachen an Luxemburg. Herausgabe von Beweismitteln (Art. 74 IRSG). Beschlagnahme von Vermögenswerten (Art. 33a IRSV).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Mio. dar, weshalb die Kontosperren auch unter diesem Gesichtspunkt ohne weiteres als verhältnismässig erscheinen. Die Ermittlungen in Lu- xemburg werden zeigen müssen, ob es sich bei den beschlagnahmten Kontovermögen um Gelder strafbarer Herkunft handelt. Bis die Frage im luxemburgischen Strafverfahren geklärt ist, muss die Kontosperre gemäss</w:t>
      </w:r>
    </w:p>
    <w:p>
      <w:r>
        <w:t>- 18 -</w:t>
      </w:r>
    </w:p>
    <w:p>
      <w:r>
        <w:t>Art. 33a IRSV aufrecht erhalten bleiben. Diese besteht erst seit dem 13. April 2010, was noch keine unverhältnismässige Dauer darstellt.</w:t>
      </w:r>
    </w:p>
    <w:p>
      <w:r>
        <w:t>Nach dem Gesagten erweisen sich auch die Rügen hinsichtlich der Ver- hältnismässigkeit der angefochtenen Rechtshilfemassnahmen als unbe- gründet.</w:t>
      </w:r>
    </w:p>
    <w:p>
      <w:r>
        <w:t>8. Zusammenfassend ergibt sich, dass sich alle Rügen der Beschwerdeführer gegen die angeordneten Rechtshilfemassnahmen als unbegründet erwei- sen. Die Beschwerde gegen die Schlussverfügung ist demnach abzuwei- sen, soweit darauf einzutreten ist.</w:t>
      </w:r>
    </w:p>
    <w:p>
      <w:r>
        <w:t>9. Bei diesem Ausgang des Verfahrens werden die Beschwerdeführer kos- tenpflichtig (Art. 63 Abs. 1 VwVG i. V. m. Art. 39 Abs. 2 lit. b StBOG). Für die Berechnung der Gerichtsgebühren gelangt gemäss Art. 63 Abs. 5 VwVG das Reglement des Bundesstrafgerichts vom 31. August 2010 über die Kosten, Gebühren und Entschädigungen in Bundesstrafverfahren (BStKR; SR 173.713.162) zur Anwendung. Es rechtfertigt sich vorliegend, die Gebühr für alle zwei Beschwerdeführer zusammen auf Fr. 10’000.-- an- zusetzen und den Beschwerdeführern unter solidarischer Haftung aufzuer- legen, unter Anrechnung des geleisteten Kostenvorschusses in gleicher Höhe (Art. 8 Abs. 3 lit. a des Reglements).</w:t>
      </w:r>
    </w:p>
    <w:p>
      <w:r>
        <w:t>- 19 -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