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RR.2011.58 vom 12. April 2011</w:t>
      </w:r>
    </w:p>
    <w:p>
      <w:r>
        <w:t>Bundesstrafgericht, 2011-04-12, FR</w:t>
      </w:r>
    </w:p>
    <w:p>
      <w:r>
        <w:rPr>
          <w:b/>
        </w:rPr>
        <w:t xml:space="preserve">Quelle: </w:t>
      </w:r>
      <w:r>
        <w:t>https://mcp.opencaselaw.ch/entscheid/bstger_RR.2011.58</w:t>
      </w:r>
    </w:p>
    <w:p>
      <w:r>
        <w:t>FR: TPF RR.2011.58 du 12 avril 2011</w:t>
      </w:r>
    </w:p>
    <w:p>
      <w:r>
        <w:t>IT: TPF RR.2011.58 del 12 aprile 2011</w:t>
      </w:r>
    </w:p>
    <w:p>
      <w:pPr>
        <w:pStyle w:val="Heading2"/>
      </w:pPr>
      <w:r>
        <w:t>Regeste</w:t>
      </w:r>
    </w:p>
    <w:p>
      <w:r>
        <w:t>Extradition à l'Espagne. Décision d'extradition (art. 55 EIMP). Invocation d'un alibi (art. 53 EIMP) et contestation des faits (consid. 2). Assistance judiciaire (consid. 3).</w:t>
      </w:r>
    </w:p>
    <w:p>
      <w:pPr>
        <w:pStyle w:val="Heading2"/>
      </w:pPr>
      <w:r>
        <w:t>Erwägungen</w:t>
      </w:r>
    </w:p>
    <w:p>
      <w:r>
        <w:rPr>
          <w:b/>
        </w:rPr>
        <w:t>E. 1</w:t>
      </w:r>
    </w:p>
    <w:p>
      <w:r>
        <w:t>En vertu des art. 37 al. 2 let. a ch. 1 de la loi fédérale sur l'organisation des autorités pénales de la Confédération (LOAP; RS 173.71) et 19 al. 2 du règlement sur l'organisation du Tribunal pénal fédéral (ROTPF; RS 173.713.161), mis en relation avec l’art. 55 al. 3 EIMP, la IIe Cour des plaintes du Tribunal pénal fédéral est compétente pour connaître des re- cours dirigés contre les décisions d’extradition.</w:t>
      </w:r>
    </w:p>
    <w:p>
      <w:r>
        <w:rPr>
          <w:b/>
        </w:rPr>
        <w:t>E. 1.1</w:t>
      </w:r>
    </w:p>
    <w:p>
      <w:r>
        <w:t>Les procédures d'extradition entre la Suisse et l’Espagne sont prioritaire- ment régies par la Convention européenne d’extradition du 13 décembre 1957 (CEExtr; RS 0.353.1) et par ses protocoles additionnels (RS 0.353.11 et 12). A compter du 12 décembre 2008, les art. 59 ss de la Convention d’application de l’Accord Schengen du 14 juin 1985 (CAAS; n° CELEX 42000A0922[02]; Journal officiel de l’Union européenne L 239 du 22 sep-</w:t>
      </w:r>
    </w:p>
    <w:p>
      <w:r>
        <w:t>- 4 -</w:t>
      </w:r>
    </w:p>
    <w:p>
      <w:r>
        <w:t>tembre 2000, p. 19 à 62) s’appliquent également à l’extradition entre ces deux Etats (v. arrêt du Tribunal pénal fédéral RR.2008.98 du 18 décembre 2008, consid. 1.3). Pour le surplus, l'EIMP et son ordonnance d'exécution (OEIMP; RS 351.11) règlent les questions qui ne sont pas régies, explici- tement ou implicitement, par les traités (ATF 130 II 337 consid. 1 p. 339; 128 II 355 consid. 1 p. 357 et la jurisprudence citée). Le droit interne s'ap- plique en outre lorsqu'il est plus favorable à l'octroi de l’extradition que la Convention (ATF 135 IV 212 consid. 2.3 et les arrêts cités). Le principe de faveur s’applique également en présence de normes internationales plus larges contenues dans des accords bilatéraux en vigueur entre les parties contractantes (art. 59 al. 2 CAAS). L'application de la norme la plus favora- ble doit avoir lieu dans le respect des droits fondamentaux (ATF 135 IV 212 consid. 2.3).</w:t>
      </w:r>
    </w:p>
    <w:p>
      <w:r>
        <w:rPr>
          <w:b/>
        </w:rPr>
        <w:t>E. 1.2</w:t>
      </w:r>
    </w:p>
    <w:p>
      <w:r>
        <w:t>Formé dans les 30 jours suivant la notification de la décision d’extradition, par la personne visée par cet acte, le recours est formellement recevable (art. 80k EIMP).</w:t>
      </w:r>
    </w:p>
    <w:p>
      <w:r>
        <w:rPr>
          <w:b/>
        </w:rPr>
        <w:t>E. 2</w:t>
      </w:r>
    </w:p>
    <w:p>
      <w:r>
        <w:t>décembre 2003, consid. 3.2, cité par le recourant). Enfin, la requête d’identification des témoins par photos en Suisse, plutôt que par confrontation en Espagne, est tout autant irrecevable. Comme la requête concernant l’identification ADN, il ne s’agit pas là d’une démonstra- tion de l’alibi allégué, mais simplement d’une preuve à décharge qu’il re- vient au juge espagnol d’administrer, le cas échéant (arrêt du Tribunal fé- déral 1A.59/2000 du 10 mars 2000, consid. 2b; arrêts du Tribunal pénal fé- déral RR.2007.118 du 30 octobre 2007, consid. 5.1; RR.2007.183 du 21 février 2008, consid. 3).</w:t>
      </w:r>
    </w:p>
    <w:p>
      <w:r>
        <w:rPr>
          <w:b/>
        </w:rPr>
        <w:t>E. 2.1</w:t>
      </w:r>
    </w:p>
    <w:p>
      <w:r>
        <w:t>Si la personne poursuivie affirme qu’elle est en mesure de fournir un alibi, l’OFJ procède aux vérifications nécessaires. Il refuse l’extradition si le fait invoqué est évident. A défaut, il communique les preuves à décharge à l’Etat requérant et l’invite à se prononcer à bref délai sur le maintien de la demande. (art. 53 EIMP). Si celui-ci confirme sa demande, l'extradition doit en principe être accordée, car il n'appartient pas à l’OFJ de contrôler la prise de position de l'Etat requérant (v. ATF 113 Ib 276 consid. 4c). Ce de- voir de vérification n’incombe toutefois à l’OFJ que dans l’hypothèse où le fait invoqué est susceptible de conduire au refus de l’extradition et à la libé- ration de l’inculpé, ou au retrait de la demande d’extradition (ATF 109 Ib 317 consid. 11b). En effet, même si elle n'est pas prévue par la CEExtr et peut ainsi se trouver en contradiction avec l'obligation d'extrader découlant de l'art. 1er de cette Convention, la faculté de fournir un alibi correspond à un principe général du droit extraditionnel (ATF 123 II 279 consid. 2b; 113 Ib 276 consid. 3c). La notion d'alibi doit être comprise dans son sens litté- ral, c'est-à-dire comme la preuve évidente que la personne poursuivie ne se trouvait pas sur les lieux de l'infraction au moment de sa commission (ATF 122 II 373 consid. 1c; 113 Ib 276 consid. 3b). Selon la jurisprudence du Tribunal fédéral, il s’agit bien d’éviter l’extradition d’une personne mani- festement innocente (ATF 123 II 279 consid. 2b; arrêt du Tribunal fédéral 1A.2/2004 du 6 février 2004, cons. 3.1). Une version des faits différente de celle décrite dans la demande ou de simples arguments à décharge ne peuvent être pris en considération à ce titre. L’alibi doit être fourni sans dé- lai; la simple allégation de l’alibi et l’annonce de preuves à venir ne satis- font nullement à cette condition (ATF 109 IV 174 consid. 2). Ainsi, la vérification de l’identité de la personne recherchée, prévue à l’art. 52 al. 1 EIMP, n’implique pas que l’autorité requise doive déterminer si</w:t>
      </w:r>
    </w:p>
    <w:p>
      <w:r>
        <w:t>- 6 -</w:t>
      </w:r>
    </w:p>
    <w:p>
      <w:r>
        <w:t>cette personne est bien l’auteur des infractions reprochées. Elle doit sim- plement s’assurer que, au plan formel, la personne recherchée à l’étranger corresponde à la personne arrêtée en Suisse (v. à cet égard ATF 109 Ib 317 consid. 11b; arrêt du Tribunal fédéral non publié 1A.272/2000, consid. 2, mentionné ég. par ROBERT ZIMMERMANN, La coopération judiciaire inter- nationale en matière pénale, 3ème éd., Berne 2009, p. 438, n° 473).</w:t>
      </w:r>
    </w:p>
    <w:p>
      <w:r>
        <w:rPr>
          <w:b/>
        </w:rPr>
        <w:t>E. 2.2</w:t>
      </w:r>
    </w:p>
    <w:p>
      <w:r>
        <w:t>Dans le cadre du recours contre le mandat d’arrêt extraditionnel, la Cour de céans a jugé que les requêtes tendant à l’audition des citoyens italiens D., E. et F. étaient inaptes à établir de manière évidente que le recourant ne se trouvait pas à Humanes le 16 août 2007 (arrêt du Tribunal pénal fédéral RR.2010.296 du 18 janvier 2011, consid. 2.2.1). Ce qui précède étant éga- lement valable dans la présente cause, la Cour, par économie de procé- dure, renvoie sur ce point à l’arrêt précité. S’agissant de la requête de production du dossier belge et d’audition du fonctionnaire de police C., la Cour avait alors considéré cette requête irre- cevable car elle ne répondait pas aux exigences de l’art. 47 al. 1 EIMP qui exige que l’alibi soit fourni sans délai (consid. 2.2.2). La preuve dont l’administration est requise est, ici encore, inefficace à établir un alibi de manière évidente. En effet, le recourant ne produit aucune pièce de cette procédure belge qui permettrait de déterminer si et pour quelles raisons les autorités espagnoles auraient expressément enjoint les autorités belges à libérer le recourant, avant d’en requérir l’extradition des autorités suisses à peine quelques semaines plus tard. Le recourant n’a ainsi aucunement rendu vraisemblable que la production du dossier belge serait susceptible de conduire au refus de l’extradition. Au surplus, la Suisse décide souve- rainement si les conditions à l’extradition fixées par la CEExtr ou par son droit interne sont satisfaites, sans être liée par les décisions ayant pu être rendues dans un Etat tiers. Il est par conséquent sans importance qu’un Etat tiers (par hypothèse la Belgique) ait précédemment refusé de collabo- rer avec l’Etat requérant, si la demande de ce dernier portant sur le même objet doit être admise par l’autorité suisse (arrêt du Tribunal fédéral 1A.58/2006 du 12 avril 2006, consid. 3; arrêt du Tribunal pénal fédéral RR.2009.204 du 9 juillet 2009, consid. 2.1; Robert Zimmermann, op. cit., n° 661). Concernant la requête d’identification digitale et génétique (ADN), le carac- tère de preuve évidente leur fait manifestement défaut et ne saurait partant s’accorder à l’exigence de célérité de la procédure de l’art. 17a EIMP. Le recourant semble perdre de vue cette exigence quand il indique qu’une telle preuve est «d’une extrême facilité à apporter» et «rapide» (mémoire de recours, act. 1, p. 3). Par ailleurs, lorsque le recourant fait grief à l’OFJ</w:t>
      </w:r>
    </w:p>
    <w:p>
      <w:r>
        <w:t>- 7 -</w:t>
      </w:r>
    </w:p>
    <w:p>
      <w:r>
        <w:t>de ne pas procéder à telle instruction arguant que « la preuve selon la- quelle la personne recherchée ne se trouvait pas au lieu du délit doit être apportée sans retard » (mémoire de recours, act. 1, p. 3, art. 3), il omet de préciser que l’apport de cette preuve incombe à celui qui invoque l’alibi et certainement pas à l’OFJ (v. arrêt du Tribunal fédéral 1A.242/2003 du</w:t>
      </w:r>
    </w:p>
    <w:p>
      <w:r>
        <w:rPr>
          <w:b/>
        </w:rPr>
        <w:t>E. 2.3</w:t>
      </w:r>
    </w:p>
    <w:p>
      <w:r>
        <w:t>Dès lors, c’est à bon droit que l’OFJ a refusé les mesures d’instruction re- quises par le recourant et le recours doit être rejeté.</w:t>
      </w:r>
    </w:p>
    <w:p>
      <w:r>
        <w:rPr>
          <w:b/>
        </w:rPr>
        <w:t>E. 3</w:t>
      </w:r>
    </w:p>
    <w:p>
      <w:r>
        <w:t>Un émolument de CHF 1'000.-- est mis à la charge du recourant.</w:t>
      </w:r>
    </w:p>
    <w:p>
      <w:r>
        <w:t>Bellinzone, le 14 avril 2011</w:t>
      </w:r>
    </w:p>
    <w:p>
      <w:r>
        <w:t>Au nom de la IIe Cour des plaintes du Tribunal pénal fédéral</w:t>
      </w:r>
    </w:p>
    <w:p>
      <w:r>
        <w:t>La présidente: Le greffier:</w:t>
      </w:r>
    </w:p>
    <w:p>
      <w:r>
        <w:t>Distribution</w:t>
      </w:r>
    </w:p>
    <w:p>
      <w:r>
        <w:t>- Me Hubert Theurillat,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