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RR.2011.47 vom 13. Mai 2011</w:t>
      </w:r>
    </w:p>
    <w:p>
      <w:r>
        <w:t>Bundesstrafgericht, 2011-05-13, IT</w:t>
      </w:r>
    </w:p>
    <w:p>
      <w:r>
        <w:rPr>
          <w:b/>
        </w:rPr>
        <w:t xml:space="preserve">Quelle: </w:t>
      </w:r>
      <w:r>
        <w:t>https://mcp.opencaselaw.ch/entscheid/bstger_RR.2011.47</w:t>
      </w:r>
    </w:p>
    <w:p>
      <w:r>
        <w:t>FR: TPF RR.2011.47 du 13 mai 2011</w:t>
      </w:r>
    </w:p>
    <w:p>
      <w:r>
        <w:t>IT: TPF RR.2011.47 del 13 maggio 2011</w:t>
      </w:r>
    </w:p>
    <w:p>
      <w:pPr>
        <w:pStyle w:val="Heading2"/>
      </w:pPr>
      <w:r>
        <w:t>Regeste</w:t>
      </w:r>
    </w:p>
    <w:p>
      <w:r>
        <w:t>Assistenza giudiziaria internazionale in materia penale all'Italia/Trasmissione di mezzi di prova (art. 74 AIMP) e sequestro: diritto di essere sentito (partecipazione alla cernita dei documenti e motivazione della decisione di chiusura); proporzionalità.</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in seguito l'Accordo italo-svizzero), entrato in vigore mediante scambio di note il 1° giugno 2003,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136 IV 82 consid. 3.1; 123 II 134 consid. 1a; 122 II 140 consid. 2). Il principio di favore vale anche nell'appli- cazione delle pertinenti norme di diritto internazionale (v. art. 48 n. 2 CAS, 39 n. 3 CRic e I n. 2 Accordo italo-svizzero). È fatto salvo il rispetto dei dirit- ti fondamentali (DTF 135 IV 212 consid. 2.3; 123 II 595 consid. 7c).</w:t>
      </w:r>
    </w:p>
    <w:p>
      <w:r>
        <w:rPr>
          <w:b/>
        </w:rPr>
        <w:t>E. 1.3</w:t>
      </w:r>
    </w:p>
    <w:p>
      <w:r>
        <w:t>Il ricorso è stato tempestivamente interposto contro una decisione di chiu- sura dell'autorità cantonale d'esecuzione (v. art. 80e cpv. 1 e 80k AIMP). La legittimazione di A., titolare del conto oggetto della criticata misura d'assi- stenza, è pacifica (v. art. 80h lett. b AIMP e art. 9a OAIMP; DTF 131 II 169 consid. 2.2.1; 118 Ib 547 consid. 1d; TPF 2007 79 consid. 1.6 pag. 82).</w:t>
      </w:r>
    </w:p>
    <w:p>
      <w:r>
        <w:rPr>
          <w:b/>
        </w:rPr>
        <w:t>E. 2</w:t>
      </w:r>
    </w:p>
    <w:p>
      <w:r>
        <w:t>Censurando la violazione del suo diritto di essere sentito, l'insorgente so- stiene di non aver avuto la possibilità, prima dell'emanazione della decisio-</w:t>
      </w:r>
    </w:p>
    <w:p>
      <w:r>
        <w:t>- 4 -</w:t>
      </w:r>
    </w:p>
    <w:p>
      <w:r>
        <w:t>ne qui impugnata, da lui ritenuta peraltro insufficientemente motivata, di esprimersi sulla documentazione che l'autorità d'esecuzione intendeva tra- smettere all'autorità rogante.</w:t>
      </w:r>
    </w:p>
    <w:p>
      <w:r>
        <w:rPr>
          <w:b/>
        </w:rPr>
        <w:t>E. 2.1</w:t>
      </w:r>
    </w:p>
    <w:p>
      <w:r>
        <w:t>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 re in maniera concreta ed effettiva il loro diritto di essere sentiti (v. art. 30 cpv. 1 PA), secondo modalità di collaborazione comunque rispettose del principio della buona fede (art. 5 cpv. 3 Cost.; PATRICK L. KRAUS- KOPF/KATRIN EMMENEGGER, in: B. Waldmann/P. Weissenberger, Praxi- skommentar VwVG, Zurigo/Basilea/Ginevra 2009, n. 54 ad art. 12). La cer- nita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 sprimersi in merito davanti ad una autorità di ricorso, la quale, come nella fattispecie la II Corte dei reclami penali del Tribunale penale federale, di- spone del medesimo potere d’esame dell’autorità d’esecuzione stessa (v. DTF 124 II 132 consid. 2d; 118 Ib 111 consid. 4; sentenze del Tribunale fe- derale 1C_159/2011 dell'11 aprile 2011, consid. 1.3, 1C_525/2008 e</w:t>
      </w:r>
    </w:p>
    <w:p>
      <w:r>
        <w:t>- 5 -</w:t>
      </w:r>
    </w:p>
    <w:p>
      <w:r>
        <w:t>1C_526/2008 del 28 novembre 2008, consid. 1.3 nonché 1A.54/2004 del 30 aprile 2004; TPF 2008 172 consid. 2.3; ZIMMERMANN, op. cit., n. 472)</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in mi- sura di potersi rendere conto della decisione e di contestarla con cognizio- ne di causa presso l'autorità di ricorso (DTF 126 I 15 consid. 2a/aa pag. 17; 125 II 369 consid. 2c; 124 II 146 consid. 2a; 124 V 180 consid. 1a).</w:t>
      </w:r>
    </w:p>
    <w:p>
      <w:r>
        <w:rPr>
          <w:b/>
        </w:rPr>
        <w:t>E. 2.2</w:t>
      </w:r>
    </w:p>
    <w:p>
      <w:r>
        <w:t>Nella fattispecie, dagli atti dell'incarto non risulta che il ricorrente abbia avu- to occasione di esprimersi, prima dell'emanazione della decisione di chiu- sura, sugli atti che il Ministero pubblico ticinese intendeva trasmettere al- l'autorità rogante. Ad ogni modo, occorre ricordare che l'autorità d'esecu- zione non è obbligata a notificare le proprie decisioni all'estero (v. art. 80m AIMP; art. 9 OAIMP; sentenza del Tribunale federale 1A.221/2002 del 25 novembre 2002, consid. 2.6). La decisione di entrata in materia e ese- cuzione del 22 dicembre 2010 è stata correttamente notificata alla banca del ricorrente (v. DTF 136 IV 16 consid. 2.2), il quale, data l'esistenza di una convenzione di fermo banca (v. atto 3 Ministero pubblico ticinese) e non sussistendo alcun divieto d'informazione, era da considerarsi informato della rogatoria (cfr. DTF 124 II 124 consid. 2e). L'agire del Ministero pubbli- co ticinese non presta dunque fianco a critiche. La persona toccata da una misura d'assistenza non può altresì accontentarsi di assumere un'attitudine passiva: quando sa che delle misure di assistenza sono state adottate e che una decisione di trasmissione è imminente, in ossequio al principio del- la buona fede (art. 5 cpv. 3 Cost.), ella deve intervenire presso l'autorità d'esecuzione, cercare di conoscere gli atti di cui è prevista la trasmissione ed indicare precisamente quali di questi non dovrebbero essere fatti perve- nire all'autorità estera (v. sentenza del Tribunale federale 1A.160/2003 del 10 settembre 2003, consid. 2.1 e 2.3 con rinvii; v. anche ZIMMERMANN, op. cit., pag. 518 n. 479-1; CLÉMENCE GRISEL, L'obligation de collaborer des parties en procédure administrative, tesi friburghese, Zuri- go/Basilea/Ginevra 2008, pag. 102 e seg.). Constatata in concreto l'attitudi- ne passiva del ricorrente, il quale era da considerarsi a conoscenza della procedura rogatoriale in corso e nonostante ciò è rimasto totalmente inatti- vo, la censura legata alla violazione del diritto di essere sentito andrebbe già di per sé disattesa, ma in ogni caso, disponendo questa autorità di un pieno potere cognitivo in fatto e in diritto (v. 1C:159/2011 dell'11 aprile 2011, consid. 1.3; TPF 2007 57) e avendo avuto il ricorrente la possibilità di consultare gli atti oggetto della decisione impugnata nonché di esprimersi compiutamente in sede di replica sugli stessi, un'eventuale violazione del</w:t>
      </w:r>
    </w:p>
    <w:p>
      <w:r>
        <w:t>- 6 -</w:t>
      </w:r>
    </w:p>
    <w:p>
      <w:r>
        <w:t>predetto diritto sarebbe stata comunque sanata dalla presente procedura (v. DTF 124 II 132 consid. 2d; sentenza 1A.160/2003 consid. 2.2).</w:t>
      </w:r>
    </w:p>
    <w:p>
      <w:r>
        <w:t>Per quanto attiene alla motivazione della decisione impugnata, vi è da con- statare che essa è effettivamente molto scarna e ai limiti dell'accettabile, ma che nel complesso il ricorrente, come dimostra con il suo articolato ri- corso, ha potuto comunque comprendere i motivi essenziali che hanno por- tato l'autorità precedente a prendere la decisione impugnata; in sede di re- plica, poi, l'autorità ha più esplicitamente espresso le proprie motivazioni, per cui, anche se di per sé una violazione dell'obbligo di motivazione non potrebbe essere sanata nello scambio degli scritti (cfr. sentenza del Tribu- nale federale 6B_1036/2010 del 21 marzo 2011, consid. 3.3.4), per ragioni di economia processuale e in ossequio al principio della celerità (art. 17a AIMP) vi è motivo di rinunciare a rinviare il dossier all'autorità precedente, disponendo comunque questa autorità dei necessari elementi per sindaca- re nel merito la decisione impugnata. Tanto più che nella fattispecie, per i motivi esposti al consid. 3, le condizioni per la concessione dell'assistenza internazionale sono date (v. anche sentenza del Tribunale federale 1A.354/1996 del 10 dicembre 1996, consid. 6c e sentenza del Tribunale penale federale RR.2008.277 del 1° marzo 2010, consid. 9.2 previsto per la pubblicazione in TPF 2010 79).</w:t>
      </w:r>
    </w:p>
    <w:p>
      <w:r>
        <w:rPr>
          <w:b/>
        </w:rPr>
        <w:t>E. 3</w:t>
      </w:r>
    </w:p>
    <w:p>
      <w:r>
        <w:t>Il ricorrente sostiene che la trasmissione della documentazione bancaria sequestrata, essendo la stessa priva di ogni relazione con la procedura pe- nale italiana, violerebbe il principio della proporzionalità. La domanda d'as- sistenza italiana costituirebbe in realtà una ricerca indiscriminata di prove.</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w:t>
      </w:r>
    </w:p>
    <w:p>
      <w:r>
        <w:t>- 7 -</w:t>
      </w:r>
    </w:p>
    <w:p>
      <w:r>
        <w:t>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 o ancora peggio andare alla ricerca di eventuali reati mediante indagini "a strascico" che non nascono da una concreta notitia criminis.</w:t>
      </w:r>
    </w:p>
    <w:p>
      <w:r>
        <w:rPr>
          <w:b/>
        </w:rPr>
        <w:t>E. 3.2</w:t>
      </w:r>
    </w:p>
    <w:p>
      <w:r>
        <w:t>Nella fattispecie, l'utilità potenziale della documentazione di cui l'autorità rogata ha disposto la trasmissione è senz'altro data. In occasione di una perquisizione avvenuta presso l'abitazione dell'indagato B. sarebbe stata rinvenuta documentazione atta a dimostrare la disponibilità di conti all'este- ro verosimilmente di pertinenza del suddetto. In particolare, è stato trovato un foglio manoscritto dal seguente tenore:</w:t>
      </w:r>
    </w:p>
    <w:p>
      <w:r>
        <w:t>"G@FASTWEBNET.IT Ibiza 30.07.2009 Carissimo H Ti indico dove dovranno essere inviati i soldi: banca F. , Lugano. Alla cortese attenzione della signora I. Conto n. 1 (IBAN) X SIG. J".</w:t>
      </w:r>
    </w:p>
    <w:p>
      <w:r>
        <w:t>Corrispondendo il numero IBAN summenzionato al conto del ricorrente, la rogatoria presentata dall'autorità richiedente risulta pertanto giustificata. Va del resto aggiunto che, data la natura dei reati ipotizzati, la documentazione di cui è stata ordinata la trasmissione risulta necessaria nella sua totalità. Quando le autorità estere chiedono informazioni su conti bancari allo scopo di ricostruire il flusso di fondi di sospetta origine criminale, la natura stessa di dette inchieste rende verosimile la necessità di acquisire l'integralità della documentazione bancaria. Ciò perché gli inquirenti debbono poter indivi- duare il titolare giuridico ed economico del conto e sapere a quali persone sia pervenuto l'eventuale provento del reato. La trasmissione dell'intera do- cumentazione potrà evitare altresì l'inoltro di eventuali domande comple- mentari (DTF 136 IV 82 consid. 4.1; 121 II 241 consid. 3; sentenza del Tri- bunale federale 1C_486/2008 dell'11 novembre 2008, consid. 2.4). Si tratta di una maniera di procedere necessaria, se del caso, ad accertare anche l'estraneità dell'interessato (DTF 129 II 462 consid. 5.5; sentenze del Tribu- nale federale 1A.182/2006 del 9 agosto 2007, consid. 2.3 e 3.2;</w:t>
      </w:r>
    </w:p>
    <w:p>
      <w:r>
        <w:t>- 8 -</w:t>
      </w:r>
    </w:p>
    <w:p>
      <w:r>
        <w:t>1A.52/2007 del 20 luglio 2007, consid. 2.1.3; 1A.227/2006 del 22 febbraio 2007, consid. 3.2; 1A.195/2005 del 1° settembre 2005 in fine; 1A.79/2005 del 27 aprile 2005, consid. 4.1). Costatata la sufficiente relazione tra la mi- sura d'assistenza richiesta e l'oggetto del procedimento penale estero, spetterà al giudice estero del merito valutare se dalla documentazione se- questrata emerge in concreto una connessione penalmente rilevante tra i fatti perseguiti all'estero ed il conto oggetto della decisione impugnata. Ri- sulta comunque evidente che l'autorità rogante non si sta assolutamente muovendo a caso nella ricerca di materiale probatorio, soprattutto se, come nella fattispecie, con la domanda di assistenza essa sollecita l'invio di do- cumentazione concernente un conto sul quale potrebbe essere giunto de- naro proveniente da persone implicate nei fatti oggetto d'inchiesta. Visto tutto quanto precede, vi è da concludere che la domanda di assistenza e- stera non costituisce una fishing expedition e la trasmissione della docu- mentazione litigiosa non viola il principio della proporzionalità.</w:t>
      </w:r>
    </w:p>
    <w:p>
      <w:r>
        <w:rPr>
          <w:b/>
        </w:rPr>
        <w:t>E. 4</w:t>
      </w:r>
    </w:p>
    <w:p>
      <w:r>
        <w:t>Il ricorrente si oppone inoltre al mantenimento del sequestro.</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sentenza del Tribu- nale federale 1C_513/2010 dell'11 marzo 2011, consid. 3.3). Ebbene, visto quanto esposto nel precedente considerando, è senz'altro possibile affer- mare che esistono elementi sufficienti per confermare il sequestro conte- stato. Toccherà poi all'autorità estera esaminare il contenuto della docu- 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all'avente diritto nello Stato richiedente (v. art. 74a cpv. 1 e 2 AIMP e art. 13 e segg. CRic, non- ché DTF 123 II 134 consid. 5c, 268 consid. 4, 595 consid. 3). Il sequestro di tali fondi deve essere mantenuto sino alla notifica di una decisione definiti- va ed esecutiva dello Stato richiedente o fintanto che quest'ultimo non ab- bia comunicato che una tale decisione non può più essere pronunciata (art. 74a cpv. 3 AIMP e 33a OAIMP; TPF 2007 124 consid. 8 e rinvii; v. anche art. 11 e seg. CRic), ferma restando la necessità che la procedura all'estero avanzi (DTF 126 II 462 consid. 5e). Il ricorrente non ha peraltro sostanziato nessun pregiudizio economico cagionato dal sequestro. Anche da questo punto di vista il blocco in questione non presenta alcun elemento di spro- porzionalità. Ne consegue che il sequestro va confermato e la relativa cen- sura respinta.</w:t>
      </w:r>
    </w:p>
    <w:p>
      <w:r>
        <w:t>- 9 -</w:t>
      </w:r>
    </w:p>
    <w:p>
      <w:r>
        <w:rPr>
          <w:b/>
        </w:rPr>
        <w:t>E. 5</w:t>
      </w:r>
    </w:p>
    <w:p>
      <w:r>
        <w:t>In conclusione, il ricorso va respinto. Le spese seguono la soccombenza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a cari- co del ricorrente; la differenza di fr. 2'000.-- rispetto all'anticipo dei costi di fr. 5'000.-- già versato deve dunque essergli restituita.</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