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RR.2011.37 vom 17. Mai 2011</w:t>
      </w:r>
    </w:p>
    <w:p>
      <w:r>
        <w:t>Bundesstrafgericht, 2011-05-17, FR</w:t>
      </w:r>
    </w:p>
    <w:p>
      <w:r>
        <w:rPr>
          <w:b/>
        </w:rPr>
        <w:t xml:space="preserve">Quelle: </w:t>
      </w:r>
      <w:r>
        <w:t>https://mcp.opencaselaw.ch/entscheid/bstger_RR.2011.37</w:t>
      </w:r>
    </w:p>
    <w:p>
      <w:r>
        <w:t>FR: TPF RR.2011.37 du 17 mai 2011</w:t>
      </w:r>
    </w:p>
    <w:p>
      <w:r>
        <w:t>IT: TPF RR.2011.37 del 17 maggio 2011</w:t>
      </w:r>
    </w:p>
    <w:p>
      <w:pPr>
        <w:pStyle w:val="Heading2"/>
      </w:pPr>
      <w:r>
        <w:t>Regeste</w:t>
      </w:r>
    </w:p>
    <w:p>
      <w:r>
        <w:t>Entraide judiciaire internationale en matière pénale à la République d'Allemagne. Remise de moyens de preuve (art. 74 EIMP). Accès au dossier (consid. 2). Principe de proportionnalité (consid. 3). Protection du domaine secret (consid. 4).</w:t>
      </w:r>
    </w:p>
    <w:p>
      <w:pPr>
        <w:pStyle w:val="Heading2"/>
      </w:pPr>
      <w:r>
        <w:t>Erwägungen</w:t>
      </w:r>
    </w:p>
    <w:p>
      <w:r>
        <w:rPr>
          <w:b/>
        </w:rPr>
        <w:t>E. 1</w:t>
      </w:r>
    </w:p>
    <w:p>
      <w:r>
        <w:t>L'entraide judiciaire entre la République d’Allemagne et la Confédération suisse est prioritairement régie par la Convention européenne d’entraide judiciaire en matière pénale (CEEJ; RS 0.351.1) et l’Accord passé entre el- les en vue de la compléter et de faciliter son application (RS 0.351.913.61). A compter du 12 décembre 2008, les art. 48 ss de la Convention d’application de l’Accord Schengen du 14 juin 1985 (CAAS; n° CELEX 42000A0922(02); Journal officiel de l’Union européenne L 239 du 22 sep-</w:t>
      </w:r>
    </w:p>
    <w:p>
      <w:r>
        <w:t>- 4 -</w:t>
      </w:r>
    </w:p>
    <w:p>
      <w:r>
        <w:t>tembre 2000, p. 19 à 62) s’appliquent également à l’entraide pénale entre la Suisse et l’Allemagne (v. arrêt du Tribunal pénal fédéral RR.2008.98 du 18 décembre 2008, consid. 1.3).</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que la Convention (ATF 122 II 140 consid. 2 et les ar- rêts cités). Le droit le plus favorable à l’entraide s’applique aussi pour ce qui concerne le rapport entre elles des normes internationales pertinentes (v. art. 48 par. 2 CAAS). L’application de la norme la plus favorable doit avoir lieu dans le respect des droits fondamentaux (ATF 135 IV 212 consid. 2.3; 123 II 595 consid. 7c).</w:t>
      </w:r>
    </w:p>
    <w:p>
      <w:r>
        <w:rPr>
          <w:b/>
        </w:rPr>
        <w:t>E. 1.1</w:t>
      </w:r>
    </w:p>
    <w:p>
      <w:r>
        <w:t>En vertu de l’art. 37 al. 2 let. a de la loi fédérale sur l’organisation des auto- rités pénales de la Confédération (LOAP; RS 173.71), mis en relation avec les art. 25 al. 1 et 80e al. 1 EIMP et 19 al. 2 du règlement sur l’organisation du Tribunal pénal fédéral (ROTPF; RS 173.713.161), la IIe Cour des plain- tes du Tribunal pénal fédéral est compétente pour connaître des recours di- rigés contre les décisions de clôture de la procédure d’entraide rendues par l’autorité cantonale d’exécution.</w:t>
      </w:r>
    </w:p>
    <w:p>
      <w:r>
        <w:rPr>
          <w:b/>
        </w:rPr>
        <w:t>E. 1.2</w:t>
      </w:r>
    </w:p>
    <w:p>
      <w:r>
        <w:t>Selon l'art. 80h let. b EIMP, la qualité pour agir contre une mesure d'en- traide judiciaire est reconnue à celui qui est personnellement et directement touché par la mesure d’entraide. La personne visée par la procédure pé- nale étrangère peut recourir aux mêmes conditions (art. 21 al. 3 EIMP). Aux termes de l’art. 9a let. a OEIMP, est notamment réputé personnelle- ment et directement touché au sens des art. 21 al. 3 et 80h EIMP, en cas d’informations sur un compte, le titulaire du compte dont les documents font l’objet de la décision de clôture. Revêtant cette qualité, la société A. SA (ci-après: la recourante) est habilitée à recourir.</w:t>
      </w:r>
    </w:p>
    <w:p>
      <w:r>
        <w:rPr>
          <w:b/>
        </w:rPr>
        <w:t>E. 1.3</w:t>
      </w:r>
    </w:p>
    <w:p>
      <w:r>
        <w:t>Le délai de recours contre une décision de clôture est de 30 jours dès la communication écrite de la décision (80k EIMP). Déposé le 4 février 2011 contre la décision notifiée le 5 janvier 2011, le recours intervient en temps utile.</w:t>
      </w:r>
    </w:p>
    <w:p>
      <w:r>
        <w:t>Il est ainsi recevable.</w:t>
      </w:r>
    </w:p>
    <w:p>
      <w:r>
        <w:t>- 5 -</w:t>
      </w:r>
    </w:p>
    <w:p>
      <w:r>
        <w:rPr>
          <w:b/>
        </w:rPr>
        <w:t>E. 2</w:t>
      </w:r>
    </w:p>
    <w:p>
      <w:r>
        <w:t>Par un grief d’ordre formel qu’il convient d’examiner en premier lieu, la re- courante se plaint de ne pas avoir eu un accès intégral à la commission ro- gatoire, les pages 9 à 15 de la commission rogatoire ne lui ayant pas été transmises par l’autorité d’exécution.</w:t>
      </w:r>
    </w:p>
    <w:p>
      <w:r>
        <w:rPr>
          <w:b/>
        </w:rPr>
        <w:t>E. 2.1</w:t>
      </w:r>
    </w:p>
    <w:p>
      <w:r>
        <w:t>Selon le principe général de l'art. 29 al. 2 Cst., les parties ont le droit d'être entendues. Cela inclut le droit de s'expliquer, de fournir des preuves quant aux faits de nature à influer sur la décision, d'avoir accès au dossier, de participer à l'administration des preuves, d'en prendre connaissance et de se déterminer à leur propos (ATF 127 I 54 consid. 2b; 126 V 130 consid. 2). En matière d'entraide judiciaire, le droit d'être entendu est principalement mis en oeuvre par l'art. 80b EIMP. A moins que certains intérêts ne s'y op- posent, notamment la protection d’intérêts privés importants (art. 80b al. 2 let. d EIMP), l’ayant droit peut consulter, notamment, la demande elle- même et les pièces annexées, puisque c'est sur la base de ces documents que se déterminent l'admissibilité et la mesure de l'entraide requise (arrêt du Tribunal fédéral 1A.94/2001 du 25 juin 2001, consid. 2b; TPF 2008 91 consid. 3.2 et 172 consid. 2.1). Le droit de consulter le dossier s'étend à toutes les pièces décisives pour l'issue de la cause; a contrario, la consulta- tion des pièces non pertinentes peut être refusée (v. ATF 121 I 225 consid. 2a).</w:t>
      </w:r>
    </w:p>
    <w:p>
      <w:r>
        <w:rPr>
          <w:b/>
        </w:rPr>
        <w:t>E. 2.2</w:t>
      </w:r>
    </w:p>
    <w:p>
      <w:r>
        <w:t>En l’espèce, la Cour a fourni à la recourante une version caviardée des pièces 9 et 15 de la demande d’entraide (act. 10). A leur lecture, elle est en mesure de constater que, de la 4ème ligne de la page 9 à l’antépénultième ligne de la page 15, il est exclusivement question des auditions à mener dans le cadre de l’entraide. Or aucune des auditions menées ne fait l’objet de la procédure de recours. Partant, les parties encore caviardées sont sans pertinence pour la recourante et son droit d’être entendu a été entiè- rement respecté. Comme l’impossibilité initiale pour la recourante de se convaincre du bien-fondé de la restriction de l’accès au dossier a pu moti- ver son recours, il devra en être tenu compte dans le calcul de l’émolument de justice. En définitive, le grief est rejeté.</w:t>
      </w:r>
    </w:p>
    <w:p>
      <w:r>
        <w:rPr>
          <w:b/>
        </w:rPr>
        <w:t>E. 3</w:t>
      </w:r>
    </w:p>
    <w:p>
      <w:r>
        <w:t>avril 2008 au 31 mai 2008 », « swift et avis de crédit relatif au versement de USD 4'392'523.36 effectué le 11 avril 2008 par H. relatif au tableau «La Horde» de Max ERNST»). Si ces 3 derniers postes ont été repris tels quels dans la décision de clôture (qui cite encore parmi les pièces à transmettre ledit courrier de la banque du 19 novembre 2010), celle-ci ne mentionne en revanche pas les estimations de portefeuille au 30 avril 2008 et 31 mai</w:t>
      </w:r>
    </w:p>
    <w:p>
      <w:r>
        <w:t>- 8 -</w:t>
      </w:r>
    </w:p>
    <w:p>
      <w:r>
        <w:t>2008. Ces pièces ne font ainsi pas l’objet d’une transmission par le procu- reur, même si, dans ses observations, ce dernier semble indiquer que tou- tes les pièces saisies auprès de la banque F. doivent être transmises (act. 8). En définitive, au vu de la teneur de la décision querellée, le grief élevé à l’encontre de la transmission des estimations de portefeuilles est sans ob- jet.</w:t>
      </w:r>
    </w:p>
    <w:p>
      <w:r>
        <w:rPr>
          <w:b/>
        </w:rPr>
        <w:t>E. 3.1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w:t>
      </w:r>
    </w:p>
    <w:p>
      <w:r>
        <w:t>- 6 -</w:t>
      </w:r>
    </w:p>
    <w:p>
      <w:r>
        <w:t>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 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 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à éclaircir le cheminement de fonds d'origine délictueuse, il convient d'informer l'Etat requérant de toutes les transactions opérées au nom des sociétés et par le biais des comptes im- pliqués dans l'affaire (ATF 121 II 241 consid. 3c). L’utilité de la documenta- 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t>- 7 -</w:t>
      </w:r>
    </w:p>
    <w:p>
      <w:r>
        <w:rPr>
          <w:b/>
        </w:rPr>
        <w:t>E. 3.2</w:t>
      </w:r>
    </w:p>
    <w:p>
      <w:r>
        <w:t>En l’espèce, il ressort de la commission rogatoire allemande que le Procu- reur de Cologne requiert, au-delà des informations liées au titulaire du compte ouvert auprès de la banque F., le traçage documentaire des mon- tants que la recourante a perçu à la suite de la vente du tableau «La Horde» de Max ERNST. En identifiant les récipiendaires de ces sommes et en recoupant leurs noms avec ceux déjà connus de sa procédure, il espère pouvoir identifier les bénéficiaires, voire les commanditaires, du faux pictu- ral.</w:t>
      </w:r>
    </w:p>
    <w:p>
      <w:r>
        <w:rPr>
          <w:b/>
        </w:rPr>
        <w:t>E. 3.2.1</w:t>
      </w:r>
    </w:p>
    <w:p>
      <w:r>
        <w:t>La recourante estime que le prix de vente n’a pas profité aux inculpés et que l’autorité d’exécution aurait du s’en convaincre au vu des déclarations de G. du 22 décembre 2010 (mémoire de recours, act. 1, p. 8, § 2). Ce dernier a indiqué que le tableau en question était propriété de diverses per- sonnes (les sociétés I. SA et J. SA à hauteur de 37,5 % chacune et K. pour 25 %) et que sa vente avait engendré diverses dépenses en commissions (L., à hauteur de 4%) et de transport (M., environ CHF 9'000.--) (act. 1.7, p. 2). G. a consigné l’ensemble de ces informations par écrit et les a remises au procureur (annexe à act. 1.7). Au vu de la jurisprudence citée ci-dessus (consid. 3.1), une telle argumentation à décharge est impropre à refuser l’entraide, car elle est irrecevable (arrêt du Tribunal fédéral 1A.59/2000 du 10 mars 2000, consid. 2b; arrêts du Tribunal pénal fédéral RR.2010.148 du 11 septembre 2009, consid. 2.3; RR.2010.117 du 2 septembre 2010, con- sid. 3). Il ne revient en effet pas au juge de l’entraide de se livrer à une ap- préciation des preuves récoltées et l’autorité requérante doit pouvoir appré- cier librement les explications de G. au vu de son propre dossier et des piè- ces saisies en Suisse.</w:t>
      </w:r>
    </w:p>
    <w:p>
      <w:r>
        <w:rPr>
          <w:b/>
        </w:rPr>
        <w:t>E. 3.2.2</w:t>
      </w:r>
    </w:p>
    <w:p>
      <w:r>
        <w:t>S’agissant des estimations de portefeuille au 30 avril et 30 mai 2008 dont la recourante conteste la pertinence pour l’enquête allemande, il y a lieu de constater qu’elles ne sont pas visées par la décision querellée. En effet, cette dernière dresse un inventaire des pièces saisies qui n’est pas parfai- tement similaire à celui du courrier de la banque F. du 19 novembre 2010 (dossier du procureur, rubrique « Documents reçus de la banque F.»). En effet, ce courrier mentionne les pièces « estimations de portefeuille au 30 avril 2008 et 31 mai 2008 », en plus de 3 autres postes de pièces (« copie des documents d’ouverture de compte », « relevés de compte dans les monnaies CHF, USD Euro et GBP et relevés de bourse pour la période du</w:t>
      </w:r>
    </w:p>
    <w:p>
      <w:r>
        <w:rPr>
          <w:b/>
        </w:rPr>
        <w:t>E. 4</w:t>
      </w:r>
    </w:p>
    <w:p>
      <w:r>
        <w:t>La recourante s’oppose enfin à la transmission en invoquant qu’elle s’estime tenue, à l’égard de sa clientèle, de garantir la confidentialité des données qui lui sont confiées.</w:t>
      </w:r>
    </w:p>
    <w:p>
      <w:r>
        <w:t>Lors de l’exécution d’une demande d’entraide, la protection du domaine secret est réglée conformément aux dispositions sur le droit de refuser de témoigner (art. 9, 1ère phrase EIMP), soit essentiellement l’art. 321 ch. 1 du Code pénale ([CP; RS 311], applicable par renvois successifs des art. 16 de la loi fédérale sur la procédure administrative, RS 172.021, [elle- même applicable par renvoi de l’art. 12 EIMP] et 42 al. 1 let. b de la loi fé- dérale de procédure civile fédérale [PCF; RS 273]; Robert Zimmermann, La coopération judiciaire internationale en matière pénale, 3e éd., Berne 2009, n° 395). Cette dernière disposition vise les ecclésiastiques, les avocats, les défenseurs en justice, les notaires, les contrôleurs astreints au secret pro- fessionnel en vertu du code des obligations, les médecins, les dentistes, les pharmaciens, les sages-femmes, ainsi que leurs auxiliaires. Force est de constater in casu que la recourante n’exerce aucune de ces fonctions. L’art. 42 al. 2 PCF permet en outre au juge de dispenser le témoin de révé- ler d’autres secrets professionnels, ainsi qu’un secret d’affaires, lorsque, malgré les mesures de précaution de l’art. 38 PCF, l’intérêt du témoin à garder le secret l’emporte sur l’intérêt d’une partie à le révéler. En l’espèce, l’intérêt de la recourante à garantir la confidentialité des données qui lui sont confiées réside, selon cette dernière, dans « l’inévitable perte de confiance envers la galerie [qu’entraînerait] la divulgation de tels secrets » (mémoire de recours, act. 1, p. 9, § 7). S’il se conçoit que la recourante ga- rantisse une certaine confidentialité aux affaires de ses clients, elle ne sau- rait leur promettre que celles-ci ne feront jamais l’objet d’une investigation judiciaire. Et, en l'occurrence, l’intérêt allégué, demeurant général et abs- trait, doit céder le pas à l’obligation de renseigner l’autorité pénale (arrêt du Tribunal pénal fédéral RR.2009.229 du 16 décembre 2009 consid. 5). Dès lors, ce dernier grief s’avère également mal fondé.</w:t>
      </w:r>
    </w:p>
    <w:p>
      <w:r>
        <w:rPr>
          <w:b/>
        </w:rPr>
        <w:t>E. 5</w:t>
      </w:r>
    </w:p>
    <w:p>
      <w:r>
        <w:t>En règle générale, les frais de procédure comprenant l’émolument d’arrêté, les émoluments de chancellerie et les débours sont mis à la charge de la</w:t>
      </w:r>
    </w:p>
    <w:p>
      <w:r>
        <w:t>- 9 -</w:t>
      </w:r>
    </w:p>
    <w:p>
      <w:r>
        <w:t>partie qui succombe (art. 63 al. 1 PA). Le montant de l’émolument est cal- culé en fonction de l’ampleur et de la difficulté de la cause, de la façon de procéder des parties, de leur situation financière et des frais de chancelle- rie (art. 73 al. 2 LOAP). Succombant dans ses conclusions, la recourante supportera les frais réduits du présent arrêt (v. supra consid. 2.2), lesquels sont fixés à CHF 4'500.-- (art. 73 al. 2 LOAP et art. 8 al. 3 du règlement du Tribunal pénal fédéral sur les frais, émoluments, dépens, et indemnités de la procédure pénale fédérale [RFPPF; RS 173.713.162] et art. 63 al. 5 PA), couverts par l’avance de frais de CHF 5'000.-- déjà versée. Le solde par CHF 500.-- lui sera restitué par la caisse du Tribunal pénal fédéral. Il n’est pas alloué de dépens.</w:t>
      </w:r>
    </w:p>
    <w:p>
      <w:r>
        <w:t>- 10 -</w:t>
      </w:r>
    </w:p>
    <w:p>
      <w:r>
        <w:t>Par ces motifs, la IIe Cour des plaintes prononce:</w:t>
      </w:r>
    </w:p>
    <w:p>
      <w:r>
        <w:t>1. Le recours est rejeté.</w:t>
      </w:r>
    </w:p>
    <w:p>
      <w:r>
        <w:t>2. Un émolument de CHF 4’500.--, couvert par l’avance de frais de CHF 5'000.- - déjà versée, est mis à la charge de la recourante. La caisse du Tribunal pénal fédéral restituera à la recourante le solde par CHF 500.--.</w:t>
      </w:r>
    </w:p>
    <w:p>
      <w:r>
        <w:t>Bellinzone, le 17 mai 2011</w:t>
      </w:r>
    </w:p>
    <w:p>
      <w:r>
        <w:t>Au nom de la IIe Cour des plaintes du Tribunal pénal fédéral</w:t>
      </w:r>
    </w:p>
    <w:p>
      <w:r>
        <w:t>La présidente:</w:t>
      </w:r>
    </w:p>
    <w:p>
      <w:r>
        <w:t>Le greffier:</w:t>
      </w:r>
    </w:p>
    <w:p>
      <w:r>
        <w:t>Distribution</w:t>
      </w:r>
    </w:p>
    <w:p>
      <w:r>
        <w:t>- Me François Canonica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