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RR.2011.33 vom 21. Juni 2011</w:t>
      </w:r>
    </w:p>
    <w:p>
      <w:r>
        <w:t>Bundesstrafgericht, 2011-06-21, DE</w:t>
      </w:r>
    </w:p>
    <w:p>
      <w:r>
        <w:rPr>
          <w:b/>
        </w:rPr>
        <w:t xml:space="preserve">Quelle: </w:t>
      </w:r>
      <w:r>
        <w:t>https://mcp.opencaselaw.ch/entscheid/bstger_RR.2011.33</w:t>
      </w:r>
    </w:p>
    <w:p>
      <w:r>
        <w:t>FR: TPF RR.2011.33 du 21 juin 2011</w:t>
      </w:r>
    </w:p>
    <w:p>
      <w:r>
        <w:t>IT: TPF RR.2011.33 del 21 giugno 2011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August 2004, E. 7.3), jedoch spätestens ab dem Zeitpunkt der Ablage der Verfügung in das Banklagernd-Dossier (BGE 124 II 124 E. 2 S. 126; ROBERT ZIMMERMANN, La coopération judiciaire internationale en matière pénale, 3. Aufl., Bern 2009, S. 493 N. 532), wenn der von der Verfügung betroffene</w:t>
      </w:r>
    </w:p>
    <w:p>
      <w:r>
        <w:t>- 3 -</w:t>
      </w:r>
    </w:p>
    <w:p>
      <w:r>
        <w:t>Kontoinhaber mit seiner Bank eine Vereinbarung über die banklagernde Kor- respondenz abgeschlossen und den Rechtshilfebehörden keine Zustelladres- se in der Schweiz notifiziert hat (vgl. Entscheid des Bundesstrafgerichts RR.2009.254 vom 22. Juni 2010, E. 3);</w:t>
      </w:r>
    </w:p>
    <w:p>
      <w:r>
        <w:t>- der Beschwerdeführer mit der Bank B. eine Banklagernd-Vereinbarung ge- troffen hat (vgl. act. 6.2) und die Schlussverfügung demgemäss am 24. De- zember 2010 als dem Beschwerdeführer eröffnet zu gelten hat (vgl. Ent- scheid des Bundesstrafgerichts RR.2009.254 vom 22. Juni 2010, E. 3.1.3); der Beschwerdeführer seine vom 26. Januar 2011 datierte Beschwerde, ein- gegangen am 27. Januar 2011, somit nicht innerhalb der 30-tägigen Be- schwerdefrist, welche am 24. Januar 2011 abgelaufen ist, und somit verspä- tet erhoben hat, weshalb darauf nicht einzutreten ist;</w:t>
      </w:r>
    </w:p>
    <w:p>
      <w:r>
        <w:t>- der Beschwerdeführer bei diesem Ausgang des Verfahrens kostenpflichtig wird (Art. 63 Abs. 2 VwVG); für die Berechnung der Gerichtsgebühr das BStKR (i.V.m. Art. 63 Abs. 5 VwVG) zur Anwendung gelangt; die Gerichtsge- bühr vorliegend auf Fr. 500.-- festzusetzen ist (Art. 5 und 8 Abs. 3 lit. a BStKR), unter Anrechnung des geleisteten Kostenvorschusses von Fr. 5'000.--; dem Beschwerdeführer der Differenzbetrag von Fr. 4'500.-- durch die Bundesstrafgerichtskasse zurückzuerstatten ist.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