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RR.2011.32 vom 28. Februar 2011</w:t>
      </w:r>
    </w:p>
    <w:p>
      <w:r>
        <w:t>Bundesstrafgericht, 2011-02-28, DE</w:t>
      </w:r>
    </w:p>
    <w:p>
      <w:r>
        <w:rPr>
          <w:b/>
        </w:rPr>
        <w:t xml:space="preserve">Quelle: </w:t>
      </w:r>
      <w:r>
        <w:t>https://mcp.opencaselaw.ch/entscheid/bstger_RR.2011.32</w:t>
      </w:r>
    </w:p>
    <w:p>
      <w:r>
        <w:t>FR: TPF RR.2011.32 du 28 février 2011</w:t>
      </w:r>
    </w:p>
    <w:p>
      <w:r>
        <w:t>IT: TPF RR.2011.32 del 28 febbraio 2011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Februar 2011 als Rückzug der Beschwerde zu verstehen sei oder ob er an der Beschwerde festhalten und ein Gesuch um unentgeltliche Prozess- führung stellen wolle (act. 5);</w:t>
      </w:r>
    </w:p>
    <w:p>
      <w:r>
        <w:t>- der Beschwerdeführer mit Eingabe vom 10. Februar 2011 ausdrücklich den Rückzug der Beschwerde erklärte (act. 6);</w:t>
      </w:r>
    </w:p>
    <w:p>
      <w:r>
        <w:t>- 3 -</w:t>
      </w:r>
    </w:p>
    <w:p>
      <w:r>
        <w:t>- das Beschwerdeverfahren zufolge Rückzugs der Beschwerde als erledigt abzuschreiben ist;</w:t>
      </w:r>
    </w:p>
    <w:p>
      <w:r>
        <w:t>- der Beschwerdeführer bei diesem Ausgang des Verfahrens kostenpflichtig wird (Art. 39 Abs. 2 lit. b StBOG i.V.m. Art. 63 Abs. 1 VwVG); für die Be- rechnung das Reglement BStKR zur Anwendung gelangt (Art. 39 Abs. 2 lit. b StBOG i.V.m. Art. 63 Abs. 5 VwVG i.V.m. Art. 73 Abs. 1 lit. a StBOG); die Gerichtsgebühr vorliegend auf Fr. 300.-- anzusetzen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