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RR.2011.314 vom 9. Mai 2012</w:t>
      </w:r>
    </w:p>
    <w:p>
      <w:r>
        <w:t>Bundesstrafgericht, 2012-05-09, DE</w:t>
      </w:r>
    </w:p>
    <w:p>
      <w:r>
        <w:rPr>
          <w:b/>
        </w:rPr>
        <w:t xml:space="preserve">Quelle: </w:t>
      </w:r>
      <w:r>
        <w:t>https://mcp.opencaselaw.ch/entscheid/bstger_RR.2011.314</w:t>
      </w:r>
    </w:p>
    <w:p>
      <w:r>
        <w:t>FR: TPF RR.2011.314 du 9 mai 2012</w:t>
      </w:r>
    </w:p>
    <w:p>
      <w:r>
        <w:t>IT: TPF RR.2011.314 del 9 maggio 2012</w:t>
      </w:r>
    </w:p>
    <w:p>
      <w:pPr>
        <w:pStyle w:val="Heading2"/>
      </w:pPr>
      <w:r>
        <w:t>Regeste</w:t>
      </w:r>
    </w:p>
    <w:p>
      <w:r>
        <w:t>Beschlagnahme und Herausgabe von Gegenständen (Art. 74a Abs. 1 IRSG i.V.m. Art. 33a IRSV). Eintretens- und Zwischenverfügung.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0.351.913.61),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w:t>
      </w:r>
    </w:p>
    <w:p>
      <w:r>
        <w:t>- 4 -</w:t>
      </w:r>
    </w:p>
    <w:p>
      <w:r>
        <w:t>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Vorbehalten bleibt die Wahrung der Menschenrechte (vgl. BGE 135 IV 212 E. 2.3 S. 215; 123 II 595 E. 7c S. 616 ff., je m.w.H.).</w:t>
      </w:r>
    </w:p>
    <w:p>
      <w:r>
        <w:rPr>
          <w:b/>
        </w:rPr>
        <w:t>E. 2</w:t>
      </w:r>
    </w:p>
    <w:p>
      <w:r>
        <w:t>Beim Entscheid der Beschwerdegegnerin vom 30. November 2011 handelt es sich um eine Eintretens- und Zwischenverfügung der ausführenden kan- tonalen Behörde, welche das Rechtshilfeverfahren weder ganz noch teil- weise abschliesst. Die der Schlussverfügung vorangehenden Zwischenver- fügungen können nur ausnahmsweise selbständig angefochten werden, wenn sie durch die Beschlagnahme von Vermögenswerten und Wertge- genständen oder durch die Anwesenheit von Personen, die am ausländi- schen Prozess beteiligt sind, einen unmittelbaren und nicht wieder gutzu- machenden Nachteil bewirken (Art. 80e Abs. 2 lit. a und b IRSG). Zur Be- schwerde ist überdies legitimiert, wer persönlich und direkt von einer Rechtshilfemassnahme betroffen ist und ein schutzwürdiges Interesse an deren Aufhebung oder Änderung hat (Art. 80h lit. b IRSG). Das aktuelle Rechtsschutzinteresse muss zum Zeitpunkt der Urteilsfällung noch beste- hen, andernfalls auf das Rechtsmittel nicht eingetreten werden kann (Urteil des Bundesgerichts 1A.223/1999 vom 28. Februar 2000, E. 1c). Die Be- schwerdefrist gegen Zwischenverfügungen beträgt zehn Tage ab der schriftlichen Mitteilung der Verfügung (Art. 80k IRSG).</w:t>
      </w:r>
    </w:p>
    <w:p>
      <w:r>
        <w:rPr>
          <w:b/>
        </w:rPr>
        <w:t>E. 3.1</w:t>
      </w:r>
    </w:p>
    <w:p>
      <w:r>
        <w:t>In Bezug auf den unmittelbaren und nicht wieder gutzumachenden Nachteil macht die Beschwerdeführerin im Wesentlichen geltend, es sei für sie und die beschuldigte Person wichtig, über die beschlagnahmten Wertgegens- tände zu verfügen. Es sei nicht ersichtlich, weshalb diese nach erfolgter Spiegelung nicht zurückgegeben würden. Andernfalls würden ihnen wichti- ge Kontaktdaten und Kontaktadressen, welche sie für ihre privaten und ge- schäftlichen Tätigkeiten brauchten und welche auf dem Laptop, dem Palm, den diversen Handys, den CDs und den USB-Sticks enthalten seien, nicht zur Verfügung stehen. Gleiches gelte für die Beschlagnahme der Kreditkar- ten, welche unverhältnismässig erscheine, jedenfalls soweit aktuell gültige Kreditkarten betroffen seien, die für tägliche Geschäfte gebraucht würden. Es sei gerichtsnotorisch, dass auf Laptops, Palms, Handys und USB-Sticks Daten enthalten seien, die für private und geschäftliche Tätigkeiten benötigt werden. Ebenfalls gerichtsnotorisch sei, dass Kreditkarten für tägliche Ge-</w:t>
      </w:r>
    </w:p>
    <w:p>
      <w:r>
        <w:t>- 5 -</w:t>
      </w:r>
    </w:p>
    <w:p>
      <w:r>
        <w:t>schäfte gebraucht würden. Wenn die Beschwerdeführerin nicht Zugriff auf die in den vorgenannten Geräten enthaltenen Informationen habe, drohten allenfalls Verletzungen vertraglicher Verpflichtungen oder es könnten kon- krete Geschäfte aufgrund fehlender Informationen entgehen (act. 1, S. 7 N. 11; act. 9, S. 4 f. N. 7 ff.).</w:t>
      </w:r>
    </w:p>
    <w:p>
      <w:r>
        <w:rPr>
          <w:b/>
        </w:rPr>
        <w:t>E. 3.2</w:t>
      </w:r>
    </w:p>
    <w:p>
      <w:r>
        <w:t>Richtet sich die Beschwerde wie vorliegend gegen eine Zwischenverfü- gung, so muss die beschwerdeführende Person nach der bundesgerichtli- chen Rechtsprechung mit konkreten Angaben glaubhaft machen, inwiefern die Beschlagnahme von Wertgegenständen und Vermögenswerten zu ei- nem nicht wieder gutzumachenden Nachteil führt. In Betracht kommen ins- besondere drohende Verletzungen von konkreten vertraglichen Verpflich- tungen, unmittelbar bevorstehende Betreibungsschritte, der drohende Ent- zug von behördlichen Bewilligungen oder das Entgehen von konkreten Ge- schäften. Die bloss abstrakte Möglichkeit, dass sich eine Kontosperre ne- gativ auf die Geschäftstätigkeit der rechtsuchenden Person auswirken könnte, ist hingegen für die Annahme eines nicht wieder gutzumachenden Nachteils im Sinne von Art. 80e Abs. 2 lit. a IRSG grundsätzlich nicht aus- reichend. Der drohende unmittelbare und nicht wieder gutzumachende Nachteil muss glaubhaft gemacht werden; die blosse Behauptung eines solchen Nachteils genügt nicht (zum Ganzen BGE 130 II 329 E. 2 S. 332; 128 II 353 E. 3 S. 354, je m.w.H.; Urteile des Bundesgerichts 1A.81/2006 vom 21. Juli 2006, E. 2 und 1A.183/2006 vom 1. Februar 2007, E. 1.2).</w:t>
      </w:r>
    </w:p>
    <w:p>
      <w:r>
        <w:rPr>
          <w:b/>
        </w:rPr>
        <w:t>E. 3.3</w:t>
      </w:r>
    </w:p>
    <w:p>
      <w:r>
        <w:t>Die vagen Ausführungen, welche die Beschwerdeführerin bezüglich der beschlagnahmten Gegenstände vorbringt, erfüllen die Voraussetzungen nicht, um einen konkret drohenden Nachteil glaubhaft darzutun. So führt die Beschwerdeführerin dann auch aus, dass aufgrund fehlender Kontakt- daten, welche namentlich auf dem Laptop, dem Palm, den Handys und USB-Sticks enthalten seien, allenfalls Verletzungen vertraglicher Verpflich- tungen drohen würden oder ihr könnten konkrete Geschäfte entgehen. Dies sind lediglich abstrakte Möglichkeiten, die nicht ausreichend sind i.S.v. Art. 80e Abs. 2 lit. a IRSG. Dasselbe gilt für die Ausführungen bezüglich der Kreditkarten. Zahlungen für tägliche Geschäfte können nämlich auch in anderer Weise als bloss mittels Kreditkarten erfolgen. Aus dem Gesagten ergibt sich, dass die Beschwerdeführerin den geltend gemachten unmittel- baren und nicht wieder gutzumachenden Nachteil i.S.v. Art. 80e Abs. 2 IRSG nicht glaubhaft dargelegt hat. Auf die Beschwerde ist daher auch in Bezug auf die noch beschlagnahmten Gegenstände nicht einzutreten.</w:t>
      </w:r>
    </w:p>
    <w:p>
      <w:r>
        <w:t>- 6 -</w:t>
      </w:r>
    </w:p>
    <w:p>
      <w:r>
        <w:rPr>
          <w:b/>
        </w:rPr>
        <w:t>E. 4</w:t>
      </w:r>
    </w:p>
    <w:p>
      <w:r>
        <w:t>Bei diesem Ausgang des Verfahrens wird die Beschwerdeführerin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 bühr auf Fr. 3'000.-- anzusetzen, unter Verrechnung des entsprechenden Betrages mit dem geleisteten Kostenvorschuss in gleicher Höhe (Art. 8 Abs. 3 lit. a des Reglements).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