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RR.2011.301 vom 11. Januar 2012</w:t>
      </w:r>
    </w:p>
    <w:p>
      <w:r>
        <w:t>Bundesstrafgericht, 2012-01-11, DE</w:t>
      </w:r>
    </w:p>
    <w:p>
      <w:r>
        <w:rPr>
          <w:b/>
        </w:rPr>
        <w:t xml:space="preserve">Quelle: </w:t>
      </w:r>
      <w:r>
        <w:t>https://mcp.opencaselaw.ch/entscheid/bstger_RR.2011.301</w:t>
      </w:r>
    </w:p>
    <w:p>
      <w:r>
        <w:t>FR: TPF RR.2011.301 du 11 janvier 2012</w:t>
      </w:r>
    </w:p>
    <w:p>
      <w:r>
        <w:t>IT: TPF RR.2011.301 del 11 gennaio 2012</w:t>
      </w:r>
    </w:p>
    <w:p>
      <w:pPr>
        <w:pStyle w:val="Heading2"/>
      </w:pPr>
      <w:r>
        <w:t>Regeste</w:t>
      </w:r>
    </w:p>
    <w:p>
      <w:r>
        <w:t>Herausgabe von Beweismitteln (Art. 74 IRSG). Nichtbezahlung des Kostenvorschusses</w:t>
      </w:r>
    </w:p>
    <w:p>
      <w:pPr>
        <w:pStyle w:val="Heading2"/>
      </w:pPr>
      <w:r>
        <w:t>Erwägungen</w:t>
      </w:r>
    </w:p>
    <w:p>
      <w:r>
        <w:rPr>
          <w:b/>
        </w:rPr>
        <w:t>E. 25</w:t>
      </w:r>
    </w:p>
    <w:p>
      <w:r>
        <w:t>November 2011 eingeladen wurde, bis 6. Dezember 2011 einen Kosten- vorschuss von CHF 4'000.-- zu leisten und darauf aufmerksam gemacht wurde, dass bei Säumnis auf die Beschwerde nicht eingetreten werde (act. 5), er ferner aufgefordert wurde, bis zum gleichen Datum in der Schweiz ein Zustelldomizil zu bezeichnen, ansonsten weitere Zustellungen durch das Bundesstrafgericht grundsätzlich unterbleiben und insbesondere der Schlussentscheid nicht zugestellt werde;</w:t>
      </w:r>
    </w:p>
    <w:p>
      <w:r>
        <w:t>- die Frist zur Bezahlung des Kostenvorschusses gewahrt ist, wenn der Betrag rechtzeitig zu Gunsten der Behörde der Schweizerischen Post übergeben oder einem Post- oder Bankkonto in der Schweiz belastet worden ist (Art. 39 Abs. 2 lit. b StBOG i.V.m. Art. 21 Abs. 3 VwVG);</w:t>
      </w:r>
    </w:p>
    <w:p>
      <w:r>
        <w:t>- der Beschwerdeführer innerhalb der Frist den verlangten Kostenvorschuss nicht bezahlte und weder um Fristerstreckung noch um Gewährung der un- entgeltlichen Rechtspflege ersuchte;</w:t>
      </w:r>
    </w:p>
    <w:p>
      <w:r>
        <w:t>- auf die Beschwerde daher androhungsgemäss nicht einzutreten ist (Art. 39 Abs. 2 lit. b StBOG i.V.m. Art. 63 Abs. 4 VwVG);</w:t>
      </w:r>
    </w:p>
    <w:p>
      <w:r>
        <w:t>- 3 -</w:t>
      </w:r>
    </w:p>
    <w:p>
      <w:r>
        <w:t>- der Beschwerdeführer bei diesem Ausgang des Verfahrens kostenpflichtig wird (Art. 39 Abs. 2 lit. b StBOG i.V.m. Art. 63 Abs. 1 VwVG); es sich vorlie- gend rechtfertigt, auf die Erhebung einer Gerichtsgebühr zu verzichten (Art. 39 Abs. 2 lit. b StBOG i.V.m. Art. 63 Abs. 1 Satz 3 VwVG);</w:t>
      </w:r>
    </w:p>
    <w:p>
      <w:r>
        <w:t>- eine Partei, die im Ausland wohnt, gemäss Art. 80m Abs. 1 lit. b IRSG i.V.m. Art. 9 IRSV ein Zustelldomizil in der Schweiz bezeichnen muss, ansonsten die Zustellung unterbleiben kann;</w:t>
      </w:r>
    </w:p>
    <w:p>
      <w:r>
        <w:t>- der Beschwerdeführer der Aufforderung vom 25. November 2011 zur Be- zeichnung eines Zustelldomizils in der Schweiz nicht nachgekommen ist, weshalb ihm dieser Entscheid androhungsgemäss nicht formell eröffnet wird, und die Zustellung an den Beschwerdeführer anstelle dessen ad acta erfolgt.</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