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RR.2011.300 vom 12. Februar 2013</w:t>
      </w:r>
    </w:p>
    <w:p>
      <w:r>
        <w:t>Bundesstrafgericht, 2013-02-12, DE</w:t>
      </w:r>
    </w:p>
    <w:p>
      <w:r>
        <w:rPr>
          <w:b/>
        </w:rPr>
        <w:t xml:space="preserve">Quelle: </w:t>
      </w:r>
      <w:r>
        <w:t>https://mcp.opencaselaw.ch/entscheid/bstger_RR.2011.300</w:t>
      </w:r>
    </w:p>
    <w:p>
      <w:r>
        <w:t>FR: TPF RR.2011.300 du 12 février 2013</w:t>
      </w:r>
    </w:p>
    <w:p>
      <w:r>
        <w:t>IT: TPF RR.2011.300 del 12 febbraio 2013</w:t>
      </w:r>
    </w:p>
    <w:p>
      <w:pPr>
        <w:pStyle w:val="Heading2"/>
      </w:pPr>
      <w:r>
        <w:t>Regeste</w:t>
      </w:r>
    </w:p>
    <w:p>
      <w:r>
        <w:t>Internationale Rechtshilfe in Strafsachen an Deutschland. Herausgabe von Beweismitteln (Art. 74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 mungen der Art. 48 ff. des Übereinkommens vom 19. Juni 1990 zur Durch- führung des Übereinkommens von Schengen vom 14. Juni 1985 (Schen- gener Durchführungsübereinkommen, SDÜ, ABl. L 239 vom 22. September 2000, S. 19-62) massgebend.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S. 40 f.; 136 IV 82 E. 3.1; 129 II 462 E. 1.1 S. 464). Vorbehalten bleibt die Wahrung der Menschenrechte (vgl. BGE 135 IV 212 E. 2.3 S. 215; 123 II 595 E. 7c S. 616 ff., je m.w.H.).</w:t>
      </w:r>
    </w:p>
    <w:p>
      <w:r>
        <w:t>- 4 -</w:t>
      </w:r>
    </w:p>
    <w:p>
      <w:r>
        <w:rPr>
          <w:b/>
        </w:rPr>
        <w:t>E. 2.1</w:t>
      </w:r>
    </w:p>
    <w:p>
      <w:r>
        <w:t>Die Beschwerde ficht die Schlussverfügung der Beschwerdegegnerin vom 21. Oktober 2011 an, wobei sie die Rückgabe der am Arbeitsplatz des Be- schwerdeführers sichergestellten Unterlagen und elektronischen Datenträ- ger verlangt (act. 9 S. 2, 3).</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 gentümer oder Mieter, der im Besitz der sichergestellten Unterlagen war (Art. 9a lit. b IRSV). Folglich ist beispielsweise der Verfasser von Schriftstü- cken, welche im Besitze eines Dritten beschlagnahmt werden, nicht zur Beschwerde befugt (BGE 130 II 162 E. 1.1 S. 164; 123 II 161 E. 1d S. 164 f.; 116 Ib 106 E. 2a S. 109 ff.). Auch der Auftraggeber ist nicht beschwerde- legitimiert, wenn es um die Herausgabe von ihn betreffenden Unterlagen geht, welche beim Beauftragten, z.B. einem Treuhänder, sichergestellt wurden (BGE 122 II 130 E. 2b S. 133). Das gilt auch für Personen, auf wel- che sich die Unterlagen beziehen oder die Eigentümer sind, sofern sie nicht selbst im Besitz der betroffenen Unterlagen waren und sich nicht der Haus- 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Bundesstrafgerichts RR.2008.126 vom 24. Juli 2008 E. 2.2, RR.2009.13 vom 16. März 2009 E. 2.2 und RR.2011.143 vom 30. Januar 2012 E. 2.2).</w:t>
      </w:r>
    </w:p>
    <w:p>
      <w:r>
        <w:rPr>
          <w:b/>
        </w:rPr>
        <w:t>E. 2.3</w:t>
      </w:r>
    </w:p>
    <w:p>
      <w:r>
        <w:t>Angesichts der dargelegten Rechtsprechung ist bei Durchsuchungen in den Räumlichkeiten der B. AG nur diese selbst zur Beschwerde legitimiert. Da die Rügen des Beschwerdeführers die bei der B. AG durchgeführten rechtshilfeweisen Zwangsmassnahmen betreffen, kann auf die Beschwerde nicht eingetreten werden.</w:t>
      </w:r>
    </w:p>
    <w:p>
      <w:r>
        <w:rPr>
          <w:b/>
        </w:rPr>
        <w:t>E. 3</w:t>
      </w:r>
    </w:p>
    <w:p>
      <w:r>
        <w:t>Bei diesem Ausgang des Verfahrens besteht kein Anspruch auf Parteient- schädigung (Art. 64 Abs. 1 VwVG) und der Beschwerdeführer wird kosten- pflichtig (Art. 39 Abs. 2 lit. b StBOG i.V.m. Art. 63 Abs. 1 VwVG). Für die Berechnung der Gerichtsgebühren ist das Reglement des Bundesstrafge- richts vom 31. August 2010 über die Kosten, Gebühren und Entschädigun- gen in Bundesstrafverfahren (BStKR; SR 173.713.162) massgebend</w:t>
      </w:r>
    </w:p>
    <w:p>
      <w:r>
        <w:t>- 5 -</w:t>
      </w:r>
    </w:p>
    <w:p>
      <w:r>
        <w:t>(Art. 63 Abs. 5 VwVG i.V.m. Art. 53 Abs. 2 lit. a StBOG). In deren Anwen- dung ist die Gerichtsgebühr vorliegend auf Fr. 1'000.-- anzusetzen.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