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RR.2011.268 vom 8. November 2011</w:t>
      </w:r>
    </w:p>
    <w:p>
      <w:r>
        <w:t>Bundesstrafgericht, 2011-11-08, FR</w:t>
      </w:r>
    </w:p>
    <w:p>
      <w:r>
        <w:rPr>
          <w:b/>
        </w:rPr>
        <w:t xml:space="preserve">Quelle: </w:t>
      </w:r>
      <w:r>
        <w:t>https://mcp.opencaselaw.ch/entscheid/bstger_RR.2011.268</w:t>
      </w:r>
    </w:p>
    <w:p>
      <w:r>
        <w:t>FR: TPF RR.2011.268 du 8 novembre 2011</w:t>
      </w:r>
    </w:p>
    <w:p>
      <w:r>
        <w:t>IT: TPF RR.2011.268 del 8 novembre 2011</w:t>
      </w:r>
    </w:p>
    <w:p>
      <w:pPr>
        <w:pStyle w:val="Heading2"/>
      </w:pPr>
      <w:r>
        <w:t>Regeste</w:t>
      </w:r>
    </w:p>
    <w:p>
      <w:r>
        <w:t>Entraide judiciaire internationale en matière pénale à la France. Présence de fonctionnaires étrangers (art. 65a EIMP).</w:t>
      </w:r>
    </w:p>
    <w:p>
      <w:pPr>
        <w:pStyle w:val="Heading2"/>
      </w:pPr>
      <w:r>
        <w:t>Erwägungen</w:t>
      </w:r>
    </w:p>
    <w:p>
      <w:r>
        <w:rPr>
          <w:b/>
        </w:rPr>
        <w:t>E. 11</w:t>
      </w:r>
    </w:p>
    <w:p>
      <w:r>
        <w:t>janvier 2007, consid. 2.3 et 1A.217/2004 du 18 octobre 2004, consid. 2.6; ZIMMERMANN, op. cit., n° 409, p. 376 s.);</w:t>
      </w:r>
    </w:p>
    <w:p>
      <w:r>
        <w:t>- que, selon la jurisprudence constante, l’interdiction d’utiliser les informa- tions recueillies, de prendre des notes ou de faire des copies et d’accéder aux procès-verbaux d’audition constituent des garanties suf- fisantes (ATF 131 II 132 consid. 2.2; arrêt du Tribunal fédéral 1A.225/2006 du 6 mars 2007, consid. 1.5.1, publié dans Die Praxis 11/2007 n° 130; arrêt du Tribunal fédéral 1A.215/2006 du 7 novembre 2006, consid. 1.3; ég. ZIMMERMANN, op. cit., n° 409, p. 376 s.);</w:t>
      </w:r>
    </w:p>
    <w:p>
      <w:r>
        <w:t>- que, s’agissant de la prise de notes, la Cour de céans a statué qu’elle ne prêtait pas le flanc à la critique, dans la mesure où les notes res- taient dans le dossier suisse (TPF 2008 116 consid. 5.1);</w:t>
      </w:r>
    </w:p>
    <w:p>
      <w:r>
        <w:t>- qu’en l’espèce, la décision entreprise du 8 septembre 2011 mentionne expressément que «[l]’autorité requérante sera astreinte à signer, au préalable, la déclaration […] par laquelle elle s’engage à ne pas utiliser</w:t>
      </w:r>
    </w:p>
    <w:p>
      <w:r>
        <w:t>- 4 -</w:t>
      </w:r>
    </w:p>
    <w:p>
      <w:r>
        <w:t>les constatations éventuellement faites lors de l’administration des preuves avant de disposer d’une décision de clôture entrée en force» (act. 1.2, p. 3 ch. 10 in fine);</w:t>
      </w:r>
    </w:p>
    <w:p>
      <w:r>
        <w:t>- que le recourant n’allègue pas que l’Etat requérant aurait refusé de si- gner la garantie en question;</w:t>
      </w:r>
    </w:p>
    <w:p>
      <w:r>
        <w:t>- que, cela étant, le contenu de la «Déclaration de garantie» annexée à la décision querellée (act. 1.2, p. 6 ss) remplit les exigences requises par la jurisprudence (cf. arrêts du Tribunal pénal fédéral RR.2009.205- 206 du 24 juin 2009, p. 3 s.; RR.2008.259-260 du 2 octobre 2008 et RR.2008.106-107 du 17 juin 2008, consid. 3);</w:t>
      </w:r>
    </w:p>
    <w:p>
      <w:r>
        <w:t>- qu’en effet, même si l'interdiction de prendre des notes et de faire des copies n'est pas expressément mentionnée dans la déclaration de ga- rantie, ni dans la décision attaquée, la nécessité d'une telle restriction est reconnue par le MPC (v. notamment ch. 1 de la déclaration de ga- rantie [act. 1.2, p. 6], qui prévoit notamment: «la présence des magis- trats ou fonctionnaires étrangers durant les mesures d’exécution est conditionnée au fait qu’ils adoptent une attitude purement passive»; ch. 2: «la présence des représentants de l’Etat étranger ne doit pas avoir pour conséquence que des faits ressortissant au domaine secret soient exploités aux fins d’investigation ou comme moyen de preuve dans l’Etat requérant, avant que l’autorité compétente n’ait statué sur l’octroi et l’étendue de l’entraide»), qui pourra la rappeler au besoin lors de la venue des enquêteurs étrangers (arrêt du Tribunal pénal fédéral RR.2010.181-183 du 26 août 2010, p. 5; arrêt du Tribunal fédéral 1A.3/2007 du 11 janvier 2007, consid. 2.3);</w:t>
      </w:r>
    </w:p>
    <w:p>
      <w:r>
        <w:t>- qu’à défaut d’un dommage immédiat et irréparable, le recours doit en conséquence être déclaré irrecevable en l’espèce;</w:t>
      </w:r>
    </w:p>
    <w:p>
      <w:r>
        <w:t>- que, vu le sort du recours, la demande d’effet suspensif est sans objet;</w:t>
      </w:r>
    </w:p>
    <w:p>
      <w:r>
        <w:t>- que, le recours étant d’emblée irrecevable, la Cour de céans a renoncé à procéder à un échange d’écritures (art. 57 al. 1 PA a contrario,de la loi fédérale du 20 décembre 1968 sur la procédure administrative [PA; RS 172.021], applicable par renvoi de l’art. 39 al. 2 let. b LOAP) et à percevoir une avance de frais (art. 63 al. 4 in fine PA);</w:t>
      </w:r>
    </w:p>
    <w:p>
      <w:r>
        <w:t>- qu’en tant que partie qui succombe, le recourant doit supporter les frais du présent arrêt (art. 63 al. 1 PA), lesquels sont fixés à CHF 1’000.--</w:t>
      </w:r>
    </w:p>
    <w:p>
      <w:r>
        <w:t>- 5 -</w:t>
      </w:r>
    </w:p>
    <w:p>
      <w:r>
        <w:t>(art. 73 al. 2 LOAP et art. 8 al. 3 du règlement du Tribunal pénal fédéral du 31 août 2010 sur les frais, émoluments, dépens et indemnités de la procédure pénale fédérale [RFPPF; RS 173.713.162]; art. 63 al. 5 PA).</w:t>
      </w:r>
    </w:p>
    <w:p>
      <w:r>
        <w:t>- 6 -</w:t>
      </w:r>
    </w:p>
    <w:p>
      <w:r>
        <w:t>Par ces motifs, la IIe Cour des plaintes prononce:</w:t>
      </w:r>
    </w:p>
    <w:p>
      <w:r>
        <w:t>1. Le recours est irrecevable.</w:t>
      </w:r>
    </w:p>
    <w:p>
      <w:r>
        <w:t>2. La demande d’effet suspensif est sans objet.</w:t>
      </w:r>
    </w:p>
    <w:p>
      <w:r>
        <w:t>3. Un émolument de CHF 1’000.-- est mis à la charge du recourant.</w:t>
      </w:r>
    </w:p>
    <w:p>
      <w:r>
        <w:t>Bellinzone, le 9 novembre 2011</w:t>
      </w:r>
    </w:p>
    <w:p>
      <w:r>
        <w:t>Au nom de la IIe Cour des plaintes du Tribunal pénal fédéral</w:t>
      </w:r>
    </w:p>
    <w:p>
      <w:r>
        <w:t>La présidente:</w:t>
      </w:r>
    </w:p>
    <w:p>
      <w:r>
        <w:t>Le greffier:</w:t>
      </w:r>
    </w:p>
    <w:p>
      <w:r>
        <w:t>Distribution</w:t>
      </w:r>
    </w:p>
    <w:p>
      <w:r>
        <w:t>- Me Dominique Warluzel, avocat - Ministère public de la Confédération - Office fédéral de la justice, Unité Entraide judiciaire</w:t>
      </w:r>
    </w:p>
    <w:p>
      <w:r>
        <w:t>Indication des voies de recours Cette décision n’est pas sujette à recours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