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RR.2011.267 vom 24. Februar 2012</w:t>
      </w:r>
    </w:p>
    <w:p>
      <w:r>
        <w:t>Bundesstrafgericht, 2012-02-24, FR</w:t>
      </w:r>
    </w:p>
    <w:p>
      <w:r>
        <w:rPr>
          <w:b/>
        </w:rPr>
        <w:t xml:space="preserve">Quelle: </w:t>
      </w:r>
      <w:r>
        <w:t>https://mcp.opencaselaw.ch/entscheid/bstger_RR.2011.267</w:t>
      </w:r>
    </w:p>
    <w:p>
      <w:r>
        <w:t>FR: TPF RR.2011.267 du 24 février 2012</w:t>
      </w:r>
    </w:p>
    <w:p>
      <w:r>
        <w:t>IT: TPF RR.2011.267 del 24 febbraio 2012</w:t>
      </w:r>
    </w:p>
    <w:p>
      <w:pPr>
        <w:pStyle w:val="Heading2"/>
      </w:pPr>
      <w:r>
        <w:t>Regeste</w:t>
      </w:r>
    </w:p>
    <w:p>
      <w:r>
        <w:t>Entraide judiciaire internationale en matière pénale à l'Espagne. Remise de moyens de preuve (art. 74 EIMP). Compétence de l'autorité étrangère pour requérir l'entraide (consid. 2). Principe ne bis in idem (consid. 3). Prescription des actes reprochés à l'étranger (consid. 4).</w:t>
      </w:r>
    </w:p>
    <w:p>
      <w:pPr>
        <w:pStyle w:val="Heading2"/>
      </w:pPr>
      <w:r>
        <w:t>Erwägungen</w:t>
      </w:r>
    </w:p>
    <w:p>
      <w:r>
        <w:rPr>
          <w:b/>
        </w:rPr>
        <w:t>E. 1</w:t>
      </w:r>
    </w:p>
    <w:p>
      <w:r>
        <w:t>La Confédération suisse et le Royaume d’Espagne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 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Le délai de recours contre la décision de clôture est de 30 jours dès la communication écrite de celle-ci (art. 80k EIMP). Déposé à un bureau de poste suisse le 7 novembre 2011, le recours contre la décision notifiée le 7 octobre 2011 est intervenu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Revêtant cette qualité</w:t>
      </w:r>
    </w:p>
    <w:p>
      <w:r>
        <w:t>- 4 -</w:t>
      </w:r>
    </w:p>
    <w:p>
      <w:r>
        <w:t>s’agissant du compte 1, A. (ci-après: le recourant) a qualité pour recourir contre la transmission des pièces s’y rapportant.</w:t>
      </w:r>
    </w:p>
    <w:p>
      <w:r>
        <w:rPr>
          <w:b/>
        </w:rPr>
        <w:t>E. 2</w:t>
      </w:r>
    </w:p>
    <w:p>
      <w:r>
        <w:t>Dans un premier grief, le recourant fait valoir que le Parquet anti-drogue ne serait pas compétent pour requérir l’entraide sollicitée. Seul le serait le juge pénal espagnol auprès du Tribunal d’instruction no 6 de l’Audiencia Nacio- nal, en charge de la procédure référencée 65/2002 (act. 1, p. 14 ss).</w:t>
      </w:r>
    </w:p>
    <w:p>
      <w:r>
        <w:rPr>
          <w:b/>
        </w:rPr>
        <w:t>E. 2.1</w:t>
      </w:r>
    </w:p>
    <w:p>
      <w:r>
        <w:t>Il est de jurisprudence que l’autorité suisse requise s’interdit en principe d’examiner la compétence de l’autorité requérante au regard des normes d’organisation ou de procédure de l’Etat étranger (v. arrêt du Tribunal pénal fédéral RR.2011.253 du 28 novembre 2011, consid. 3.1). Ce n’est qu’en cas d’incompétence manifeste, faisant apparaître la demande étrangère comme un abus caractérisé – voire comme un défaut grave de la procé- dure étrangère au sens de l’art. 2 EIMP –, que l’entraide peut être refusée (ATF 133 IV 40 consid. 4.2 et arrêts cités).</w:t>
      </w:r>
    </w:p>
    <w:p>
      <w:r>
        <w:rPr>
          <w:b/>
        </w:rPr>
        <w:t>E. 2.2</w:t>
      </w:r>
    </w:p>
    <w:p>
      <w:r>
        <w:t>En l’espèce, le recourant invoque l’art. 773 al. 2 par. 3 de la loi de procé- dure pénale espagnole – aux termes duquel «[l]e procureur cessera d’agir dès qu’il apprendra l’existence d’une procédure judiciaire portant sur les mêmes faits» (traduction produite par le recourant, act. 1, p. 14) –, pour fonder son grief. Le tribunal central d’instruction no 6 de l’Audienca Nacio- nal serait déjà en charge depuis neuf ans d’une procédure (réf. 65/2002) portant sur des faits identiques à ceux instruits par le Parquet anti-drogue, raison pour laquelle ce dernier aurait dû cesser immédiatement ses investi- gations, avec pour conséquence la «nullité absolue» tant de la procédure par lui engagée au plan interne, que de la demande d’entraide adressée aux autorités suisses dans ce cadre.</w:t>
      </w:r>
    </w:p>
    <w:p>
      <w:r>
        <w:rPr>
          <w:b/>
        </w:rPr>
        <w:t>E. 2.3</w:t>
      </w:r>
    </w:p>
    <w:p>
      <w:r>
        <w:t>L’argument ne convainc pas. En effet, s’il ressort effectivement de la de- mande d’entraide que l’enquête ouverte par le Parquet anti-drogue s’inscrit dans le complexe de faits sur lesquels porte la procédure 65/2002, il n’en demeure pas moins que ladite demande mentionne expressément l’existence d’un «nouveau réseau de blanchiment de capitaux» en lien avec un trafic de stupéfiants international (demande d’entraide, traduction, p. 2 ch. 2). C’est, selon le libellé même de la requête d’entraide, ce nouveau ré- seau qui fait l’objet de l’enquête menée par le Parquet anti-drogue (ibidem in fine). On ne saurait partant considérer comme «démontré», ainsi que le soutient le recourant (act. 1, p. 15 in fine), que les deux procédures portent sur les mêmes faits et que le Parquet anti-drogue ne serait ainsi manifes-</w:t>
      </w:r>
    </w:p>
    <w:p>
      <w:r>
        <w:t>- 5 -</w:t>
      </w:r>
    </w:p>
    <w:p>
      <w:r>
        <w:t>tement (v. supra consid. 2.1) pas habilité à diligenter son instruction et les mesures d’entraide y relatives.</w:t>
      </w:r>
    </w:p>
    <w:p>
      <w:r>
        <w:t>Pareil constat scelle à lui seul le sort du grief en tant que les éléments au dossier ne permettent pas de conclure à une incompétence manifeste de l’autorité étrangère pour présenter sa demande.</w:t>
      </w:r>
    </w:p>
    <w:p>
      <w:r>
        <w:rPr>
          <w:b/>
        </w:rPr>
        <w:t>E. 3</w:t>
      </w:r>
    </w:p>
    <w:p>
      <w:r>
        <w:t>Le recourant argue ensuite que la décision entreprise consacrerait une vio- lation du principe «ne bis in idem», et ce notamment en raison du fait qu’il aurait, par le passé, «été totalement innocenté» dans le cadre d’une précé- dente enquête menée en Espagne, en Suisse (procédure MPC/EAII/14/04/137) et au Luxembourg en lien avec les faits de la cause (act. 1, p. 16 ss, spéc. p. 19). Il aurait ainsi notamment bénéficié d’une or- donnance de non-lieu rendue par l’Audiencia Nacional (act. 1, p. 18).</w:t>
      </w:r>
    </w:p>
    <w:p>
      <w:r>
        <w:rPr>
          <w:b/>
        </w:rPr>
        <w:t>E. 3.1</w:t>
      </w:r>
    </w:p>
    <w:p>
      <w:r>
        <w:t>Le principe «ne bis in idem» signifie que nul ne peut être poursuivi ou puni à raison de faits pour lesquels il a déjà été acquitté ou condamné par un jugement définitif. En matière d’entraide, ledit principe est réglé aux art. 2 let. a CEEJ et 66 EIMP.</w:t>
      </w:r>
    </w:p>
    <w:p>
      <w:r>
        <w:rPr>
          <w:b/>
        </w:rPr>
        <w:t>E. 3.2</w:t>
      </w:r>
    </w:p>
    <w:p>
      <w:r>
        <w:t>En l’espèce, il ne ressort pas du dossier de la cause que l’enquête diligen- tée par le Parquet anti-drogue serait dirigée contre le recourant. Si ce der- nier est certes touché par les investigations en cours, il ne l’est qu’en tant que tiers-saisi (demande d’entraide, traduction, p. 2 s.; act. 1.1, p. 3), les investigations en cours étant elles dirigées contre le dénommé B. (v. supra let. A). Il n’apparaît pas non plus que ledit B. aurait, par le passé, été ac- quitté ou condamné par un jugement définitif à raison des faits actuelle- ment sous enquête par l’autorité requérante.</w:t>
      </w:r>
    </w:p>
    <w:p>
      <w:r>
        <w:t>Ces constatations privent de toute assise le grief du recourant, et par voie de conséquence sa conclusion subsidiaire tendant à «l’apport de la procé- dure no […] MPC/EAII/14/04/137 diligentée par la Ministère public de la Confédération» (v. supra let. B), lesquels ne peuvent qu’être rejetés.</w:t>
      </w:r>
    </w:p>
    <w:p>
      <w:r>
        <w:rPr>
          <w:b/>
        </w:rPr>
        <w:t>E. 4</w:t>
      </w:r>
    </w:p>
    <w:p>
      <w:r>
        <w:t>Dans un dernier moyen, le recourant fait valoir que la prescription des ac- tes imputés au prévenu visé par l’enquête espagnole empêcherait l’octroi de l’entraide (act. 1, p. 20 s.). Il n’y a cependant pas lieu d’examiner la question de la prescription dans le cadre des mesures d’entraide régies par la CEEJ (ATF 117 Ib 53 consid. 2), comme en l’espèce s’agissant de la transmission de moyens de preuve (art. 3 ch. 1 CEEJ). De surcroît, seule la</w:t>
      </w:r>
    </w:p>
    <w:p>
      <w:r>
        <w:t>- 6 -</w:t>
      </w:r>
    </w:p>
    <w:p>
      <w:r>
        <w:t>personne poursuivie à l’étranger pourrait, le cas échéant, invoquer la pres- cription (arrêt du Tribunal fédéral 1A.62/2006 du 27 juin 2006, consid. 4.4). Or le recourant n’est pas poursuivi à l’étranger (v. supra consid. 3.2). Le grief doit dès lors être rejeté.</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 la partie qui succombe (art. 63 al. 1 de la loi fédérale sur la procédure admi- 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les- quels sont fixés à CHF 4’000.-- (art. 73 al. 2 LOAP et art. 8 al. 3 du règle- ment du Tribunal pénal fédéral du 31 août 2010 sur les frais, émoluments, dépens, et indemnités de la procédure pénale fédérale [RFPPF; RS 173.713.162] et art. 63 al. 5 PA), couverts par l’avance de frais de CHF 4’000.--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