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RR.2011.262 vom 19. April 2012</w:t>
      </w:r>
    </w:p>
    <w:p>
      <w:r>
        <w:t>Bundesstrafgericht, 2012-04-19, FR</w:t>
      </w:r>
    </w:p>
    <w:p>
      <w:r>
        <w:rPr>
          <w:b/>
        </w:rPr>
        <w:t xml:space="preserve">Quelle: </w:t>
      </w:r>
      <w:r>
        <w:t>https://mcp.opencaselaw.ch/entscheid/bstger_RR.2011.262</w:t>
      </w:r>
    </w:p>
    <w:p>
      <w:r>
        <w:t>FR: TPF RR.2011.262 du 19 avril 2012</w:t>
      </w:r>
    </w:p>
    <w:p>
      <w:r>
        <w:t>IT: TPF RR.2011.262 del 19 aprile 2012</w:t>
      </w:r>
    </w:p>
    <w:p>
      <w:pPr>
        <w:pStyle w:val="Heading2"/>
      </w:pPr>
      <w:r>
        <w:t>Regeste</w:t>
      </w:r>
    </w:p>
    <w:p>
      <w:r>
        <w:t>Entraide judiciaire internationale en matière pénale à la Fédération de Russie. Remise de moyens de preuves (art. 74 EIMP). Droit d'être entendu (consid. 2). Principe de la proportionnalité (consid. 3).</w:t>
      </w:r>
    </w:p>
    <w:p>
      <w:pPr>
        <w:pStyle w:val="Heading2"/>
      </w:pPr>
      <w:r>
        <w:t>Erwägungen</w:t>
      </w:r>
    </w:p>
    <w:p>
      <w:r>
        <w:rPr>
          <w:b/>
        </w:rPr>
        <w:t>E. 1</w:t>
      </w:r>
    </w:p>
    <w:p>
      <w:r>
        <w:t>L’entraide judiciaire entre la Confédération suisse et la Fédération de Rus- sie est régie en premier lieu par la Convention européenne d’entraide judi- ciaire en matière pénale (CEEJ; 0.351.1). Peut également s'appliquer en l'occurrence la Convention n° 141 du Conseil de l’Europe relative au blan- 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 donnance d’exécution (OEIMP; RS 351.11), qui restent cependant applica- bles aux questions non réglées, explicitement ou implicitement, par le droit conventionnel, et lorsque le droit interne est plus favorable à l’entraide que</w:t>
      </w:r>
    </w:p>
    <w:p>
      <w:r>
        <w:t>- 4 -</w:t>
      </w:r>
    </w:p>
    <w:p>
      <w:r>
        <w:t>le traité (ATF 122 II 140 consid. 2 et les arrêts cités). L’application de la norme la plus favorable (principe dit «de faveur») doit avoir lieu dans le respect des droits fondamentaux (ATF 135 IV 212 consid. 2.3).</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(v. ATF 137 IV 134 consid. 5 et renvois). L’art. 9a let. a OEIMP reconnaît au titulaire d’un compte bancaire la qualité pour re- courir contre la remise à l’Etat requérant de documents relatifs à ce compte. En application de ces principes, la qualité pour recourir est recon- nue à A. SA, en tant que titulaire du compte touché par la mesure querel- lée. Formé dans le délai de 30 jours à compter de la notification de la déci- sion querellée, le recours est formellement recevable (art. 80k EIMP).</w:t>
      </w:r>
    </w:p>
    <w:p>
      <w:r>
        <w:rPr>
          <w:b/>
        </w:rPr>
        <w:t>E. 2</w:t>
      </w:r>
    </w:p>
    <w:p>
      <w:r>
        <w:t>Par un grief d’ordre formel qu’il convient d’examiner en premier lieu, la re- courante reproche à l’autorité d’exécution d’avoir violé son droit d’être en- tendue en ce sens qu’elle aurait été empêchée de participer à la procédure devant ladite autorité d’exécution (act. 1, p. 11 s.).</w:t>
      </w:r>
    </w:p>
    <w:p>
      <w:r>
        <w:rPr>
          <w:b/>
        </w:rPr>
        <w:t>E. 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 s.,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w:t>
      </w:r>
    </w:p>
    <w:p>
      <w:r>
        <w:t>- 5 -</w:t>
      </w:r>
    </w:p>
    <w:p>
      <w:r>
        <w:t>Lorsque l’autorité compétente s’adresse à une banque pour obtenir les do- cuments nécessaires à l’exécution d’une requête d’entraide judiciaire, elle doit notifier à l’établissement bancaire sa décision d’entrée en matière, puis sa décision de clôture, quel que soit le domicile du titulaire du compte visé (ATF 130 II 505 consid. 2.3).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internationale en matière pénale, 3e éd., Berne 2009, n° 321 note 638). Le droit dont disposent les parties d’assister à l’exécution de la demande d’entraide dans la mesure où ces actes les touchent direc- tement, ne les exempte pas d’élire un domicile de notification en Suisse (arrêt du Tribunal fédéral 1A.107/2006 du 10 août 2006, consid. 2.5.1; ZIM- MERMANN, op. cit., no 484).</w:t>
      </w:r>
    </w:p>
    <w:p>
      <w:r>
        <w:rPr>
          <w:b/>
        </w:rPr>
        <w:t>E. 2.2</w:t>
      </w:r>
    </w:p>
    <w:p>
      <w:r>
        <w:t>En l’espèce, la recourante, domiciliée à l’étranger n’a pas élu de domicile en Suisse avant que soit rendue l’ordonnances de clôture du 28 septembre 2011 ici entreprise. Au vu des règles qui viennent d’être rappelées, il n’incombait aucunement à l’autorité d’exécution de s’assurer que la banque avait informé sa cliente des notifications à elle adressée. C’est ainsi à juste titre que l’autorité d’exécution s’est contentée de notifier la décision entre- prise à l’établissement bancaire abritant le compte de la recourante, sans autre démarche supplémentaire.</w:t>
      </w:r>
    </w:p>
    <w:p>
      <w:r>
        <w:t>Le grief tiré de la violation du droit d’être entendu est ainsi mal fondé.</w:t>
      </w:r>
    </w:p>
    <w:p>
      <w:r>
        <w:rPr>
          <w:b/>
        </w:rPr>
        <w:t>E. 3</w:t>
      </w:r>
    </w:p>
    <w:p>
      <w:r>
        <w:t>La recourante reproche ensuite au MP-GE d’avoir doublement violé le prin- cipe de la proportionnalité, en ne la considérant pas comme un «tiers non impliqué» (act. 1, p. 4 ss), d’une part, et en ayant rendu un décision s’apparentant à une transmission spontanée de moyens de preuve, d’autre part (act. 1, p. 8 ss).</w:t>
      </w:r>
    </w:p>
    <w:p>
      <w:r>
        <w:rPr>
          <w:b/>
        </w:rPr>
        <w:t>E. 3.1</w:t>
      </w:r>
    </w:p>
    <w:p>
      <w:r>
        <w:t>S’agissant de la qualité alléguée de «tiers non impliqué», la recourante perd de vue que, selon l’état des textes légaux et conventionnels régissant l’entraide pénale internationale pour la Suisse, ladite notion ne trouve ap- plication – à des conditions par ailleurs restrictives – que dans les rapports avec les Etats-Unis, auxquels s’applique le Traité entre la Confédération suisse et les Etats-Unis d’Amérique sur l’entraide judiciaire en matière pé- nale (TEJUS; RS 0.351.933.6), en particulier son art. 10 al. 2 (ZIMMER- MANN, op. cit., nos 404 s.; arrêt du Tribunal fédéral 1A.65/2007, consid. 2).</w:t>
      </w:r>
    </w:p>
    <w:p>
      <w:r>
        <w:t>- 6 -</w:t>
      </w:r>
    </w:p>
    <w:p>
      <w:r>
        <w:t>La présente espèce étant soumise à la CEEJ (v. supra consid. 1), c’est donc uniquement sous l’angle de la violation alléguée du principe de la proportionnalité que les considérations de la recourante consacrées au «tiers non impliqué» doivent être examinées.</w:t>
      </w:r>
    </w:p>
    <w:p>
      <w:r>
        <w:rPr>
          <w:b/>
        </w:rPr>
        <w:t>E. 3.2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des demandes relatives à des informations bancaires, il con- vient en principe de transmettre tous les documents qui peuvent avoir trait au soupçon exposé dans la demande d’entraide. Il doit exister un lien de connexité suffisant entre l’état de faits faisant l’objet de l’enquête pénale menée par les autorités de l’Etat requérant et les documents visés par la remise.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Lorsque la demande d’entraide vise à éclaircir le cheminement de fonds d'origine délictueuse, il convient d'informer l'Etat requérant de tou-</w:t>
      </w:r>
    </w:p>
    <w:p>
      <w:r>
        <w:t>- 7 -</w:t>
      </w:r>
    </w:p>
    <w:p>
      <w:r>
        <w:t>tes les transactions opérées au nom des sociétés et des comptes impliqués dans l'affaire (ATF 121 II 241 consid. 3c). Dans le contexte d’une investiga- tion du chef d’abus de confiance, respectivement d’escroquerie mettant en lumière l’utilisation de structures potentiellement destinées à brouiller la trace des sommes détournées, il est en outre nécessaire que l'autorité re- quérante puisse prendre connaissance de l'ensemble de la gestion du ou des comptes visés, afin, le cas échéant, de pouvoir remettre la main sur ces sommes en reconstituant le parcours de l'intégralité des fonds. Il se justifie en pareille hypothèse d’autoriser la production de toute la documen- tation bancaire, même sur une période relativement étendue (v. arrêt du Tribunal fédéral 1A.277/2006 du 13 mars 2007, consid. 3.3). L'autorité re- quérante dispose en effet d'un intérêt a priori prépondérant à pouvoir véri- fier, dans un tel cas, le mode de gestion des comptes concernés et analy- ser l’origine et la destination des flux financiers y ayant transité.</w:t>
      </w:r>
    </w:p>
    <w:p>
      <w:r>
        <w:rPr>
          <w:b/>
        </w:rPr>
        <w:t>E. 3.3</w:t>
      </w:r>
    </w:p>
    <w:p>
      <w:r>
        <w:t>L’autorité requérante enquête sur les agissements de B., soupçonné d’avoir, dans le cadre de relations d’affaires tenues en 2008 et 2009 avec le dénommé C, directeur de la société D., détourné des fonds de ladite so- ciété en utilisant le logiciel de paiement bancaire auquel C. lui avait donné accès en vue de l’exécution d’un contrat de vente d’équipement technolo- gique avec la société E., laquelle n’a finalement jamais livré le matériel an- noncé. Par ce biais, B. serait parvenu à disposer de la somme d’environ EUR 5 mios, initialement destinée à honorer ledit contrat commercial, et à la virer sur un compte détenu par la société E. auprès de la banque F. à Genève. La somme aurait ensuite été répartie sur divers autres comptes (dossier MP-GE, classeur «CP/103/11 – E.», rubrique «Requête et com- pléments», pièces 010044 ss). Au nombre de ces derniers figurent notam- ment le compte détenu par la société G. auprès de la banque H., lequel fait expressément l’objet de la demande d’entraide.</w:t>
      </w:r>
    </w:p>
    <w:p>
      <w:r>
        <w:rPr>
          <w:b/>
        </w:rPr>
        <w:t>E. 3.3.1</w:t>
      </w:r>
    </w:p>
    <w:p>
      <w:r>
        <w:t>L’exécution de ladite demande a révélé qu’un versement de EUR 50'082.-- a été opéré en août 2009 sur le compte de la société G. en provenance du compte de la recourante auprès de la banque F. Par ailleurs, ledit compte de la recourante avait préalablement reçu, au mois de janvier 2009, un montant de EUR 129'869.-- en provenance de la société D. Sur le vu de ces éléments – et en particulier du rapport de connexité ainsi mis à jour en- tre le compte de la recourante et les comptes de sociétés auxquelles les enquêteurs russes s’intéressent –, le fait que la recourante produise en procédure une déclaration de la société D. selon laquelle le versement de EUR 129'869.-- intervenu représenterait la contreprestation d’un contrat dûment exécuté (act. 1.6 à 1.8), et une attestation de frais de voyage rela- tive à un montant de EUR 50'000.-- (act. 11.1), ne suffit pas à dénier</w:t>
      </w:r>
    </w:p>
    <w:p>
      <w:r>
        <w:t>- 8 -</w:t>
      </w:r>
    </w:p>
    <w:p>
      <w:r>
        <w:t>l’existence d’un rapport objectif entre la recourante, respectivement son compte auprès de la banque F., d’une part, et l’infraction faisant l’objet des investigations russes, d’autre part. De même, le fait que les autorités rus- ses ne soupçonnent pas la recourante d’avoir commis une infraction ne constitue pas un obstacle à l’entraide. S’agissant des demandes relatives à des informations bancaires, il convient en effet de transmettre tous les do- cuments qui peuvent avoir trait au soupçon exposé dans la demande d’entraide; il suffit qu’il existe un lien de connexité entre l’état de fait sur le- 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rPr>
          <w:b/>
        </w:rPr>
        <w:t>E. 3.3.2</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d’un compte susceptible, comme en l’espèce, d’avoir joué un rôle dans le cadre d’un schéma frauduleux mis en place par l’auteur présumé d’infractions pénales, l’autorité requérante a in- térêt à pouvoir prendre connaissance de la documentation d’ouverture, afin notamment de connaître l’identité de l’ayant droit économique et des signa- taires autorisés. Elle dispose également d’un intérêt à être informée de tou- te transaction susceptible de s’inscrire dans le mécanisme frauduleux mis en place par le prévenu sous enquête en Russie.</w:t>
      </w:r>
    </w:p>
    <w:p>
      <w:r>
        <w:t>Certes, il se peut également que le compte litigieux n'ait pas servi à rece- 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 RR.2007.29 du 30 mai 2007, consid 4.2). Selon la jurisprudence, le prin- 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w:t>
      </w:r>
    </w:p>
    <w:p>
      <w:r>
        <w:t>- 9 -</w:t>
      </w:r>
    </w:p>
    <w:p>
      <w:r>
        <w:t>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 722, p. 673 s.).</w:t>
      </w:r>
    </w:p>
    <w:p>
      <w:r>
        <w:rPr>
          <w:b/>
        </w:rPr>
        <w:t>E. 3.3.3</w:t>
      </w:r>
    </w:p>
    <w:p>
      <w:r>
        <w:t>En l’espèce, l’autorité d’exécution entend transmettre la documentation d’ouverture du compte de la recourante, les relevés de compte depuis l’ouverture en août 2008 jusqu’à ce jour – soit une période correspondant à celle des faits sous enquête en Russie (dossier MP-GE, classeur «CP/103/11 – E.», rubrique «Requête et compléments», pièce 010044) –, ainsi que l’état des avoirs dudit compte au 17 mai 2011. Sur le vu des con- sidérations qui précèdent, force est de constater que l’autorité d’exécution n’a pas violé le principe de la proportionnalité en allant au-delà de la re- quête russe, étant rappelé que pareil mode de procéder permet aussi d’éviter d’éventuelles demandes d’entraide complémentaires (v. supra con- sid. 3.2).</w:t>
      </w:r>
    </w:p>
    <w:p>
      <w:r>
        <w:t>Il s’ensuit que le grief tiré de la violation du principe de la proportionnalité n’est pas fondé et doit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couverts par l’avance de frais de CHF 5'000.--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