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RR.2011.255 vom 24. Februar 2012</w:t>
      </w:r>
    </w:p>
    <w:p>
      <w:r>
        <w:t>Bundesstrafgericht, 2012-02-24, IT</w:t>
      </w:r>
    </w:p>
    <w:p>
      <w:r>
        <w:rPr>
          <w:b/>
        </w:rPr>
        <w:t xml:space="preserve">Quelle: </w:t>
      </w:r>
      <w:r>
        <w:t>https://mcp.opencaselaw.ch/entscheid/bstger_RR.2011.255</w:t>
      </w:r>
    </w:p>
    <w:p>
      <w:r>
        <w:t>FR: TPF RR.2011.255 du 24 février 2012</w:t>
      </w:r>
    </w:p>
    <w:p>
      <w:r>
        <w:t>IT: TPF RR.2011.255 del 24 febbraio 2012</w:t>
      </w:r>
    </w:p>
    <w:p>
      <w:pPr>
        <w:pStyle w:val="Heading2"/>
      </w:pPr>
      <w:r>
        <w:t>Regeste</w:t>
      </w:r>
    </w:p>
    <w:p>
      <w:r>
        <w:t>Assistenza giudiziaria internazionale in materia penale all'Italia/Sequestro di un conto bancario (art. 80e cpv. 2 lett. a AIMP): conflitto d'interessi a livello di patrocinio; pregiudizio immediato ed irreparabile.</w:t>
      </w:r>
    </w:p>
    <w:p>
      <w:pPr>
        <w:pStyle w:val="Heading2"/>
      </w:pPr>
      <w:r>
        <w:t>Erwägungen</w:t>
      </w:r>
    </w:p>
    <w:p>
      <w:r>
        <w:rPr>
          <w:b/>
        </w:rPr>
        <w:t>E. 1.1</w:t>
      </w:r>
    </w:p>
    <w:p>
      <w:r>
        <w:t>In virtù degli art. 37 cpv. 2 lett. a della legge federale sull'organizzazione delle autorità penali della Confederazione (LOAP; RS 173.71) e 19 cpv. 1 ROTPF, la Corte dei reclami penali giudica i gravami in materia di assisten- za giudiziaria internazionale.</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entrato in vigore mediante scambio di note il 1° giugno 2003 (in seguito: l'Accordo italo-svizzero), nonché, a partire dal 12 dicem- bre 2008 (Gazzetta ufficiale dell’Unione europea, L 327/15-17, del 5 di- cembre 2008), dagli art. 48 e segg. della Convenzione di applicazione del- 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w:t>
      </w:r>
    </w:p>
    <w:p>
      <w:r>
        <w:t>- 4 -</w:t>
      </w:r>
    </w:p>
    <w:p>
      <w:r>
        <w:t>sull'assistenza internazionale in materia penale del 20 marzo 1981 (AIMP; RS 351.1), unitamente alla relativa ordinanza (OAIMP; RS 351.11; v. art. 1 cpv. 1 AIMP, art. I n. 2 dell'Accordo italo-svizzero; DTF 136 IV 82 consid. 3.1; 135 IV 212 consid. 2.3; 123 II 134 consid. 1a; 122 II 140 consid. 2). Il principio di favore vale anche nell'applicazione delle pertinenti norme di di- ritto internazionale (v. art. 48 n. 2 CAS, 39 n. 3 CRic e art. I n. 2 Accordo i- talo svizzero). È fatto salvo il rispetto dei diritti fondamentali (DTF 135 IV 212 consid. 2.3; 123 II 595 consid. 7c).</w:t>
      </w:r>
    </w:p>
    <w:p>
      <w:r>
        <w:rPr>
          <w:b/>
        </w:rPr>
        <w:t>E. 1.3</w:t>
      </w:r>
    </w:p>
    <w:p>
      <w:r>
        <w:t>La decisione dell’autorità cantonale o federale d’esecuzione relativa alla chiusura della procedura d’assistenza giudiziaria può essere impugnata, congiuntamente alle decisioni incidentali anteriori, con ricorso alla Corte dei reclami penali del Tribunale penale federale. (art. 80e cpv. 1 AIMP). Le de- cisioni incidentali anteriori alla decisione di chiusura possono essere impu- gnata separatamente se causano un pregiudizio immediato e irreparabile mediante il sequestro di beni e valori (art. 80e cpv. 2 lett. a AIMP) oppure mediante la presenza di persone che partecipano al processo estero (art. 80e cpv. 2 lett. b AIMP).</w:t>
      </w:r>
    </w:p>
    <w:p>
      <w:r>
        <w:rPr>
          <w:b/>
        </w:rPr>
        <w:t>E. 1.4</w:t>
      </w:r>
    </w:p>
    <w:p>
      <w:r>
        <w:t>A. SA ha preso conoscenza della decisione impugnata in data 8 ottobre 2011 (v. act. 10, pag. 4, e 10.1). Interposto il 17 ottobre 2011, il ricorso è tempestivo (v. art. 80k AIMP). La legittimazione della ricorrente, titolare del conto oggetto della criticata misura di assistenza, è pacifica (v. art. 80h lett. b AIMP e art. 9a lett. a OAIMP; DTF 137 IV 134 consid. 5.2.1; 118 Ib 547 consid. 1d; TPF 2007 79 consid. 1.6).</w:t>
      </w:r>
    </w:p>
    <w:p>
      <w:r>
        <w:rPr>
          <w:b/>
        </w:rPr>
        <w:t>E. 1.5</w:t>
      </w:r>
    </w:p>
    <w:p>
      <w:r>
        <w:t>Nella sua risposta del 18 novembre 2011, il MP/TI ipotizza l’esistenza di un conflitto di interessi in quanto l’avv. Yasar Ravi è patrocinatore sia dell’imputato C. che della A. SA.</w:t>
      </w:r>
    </w:p>
    <w:p>
      <w:r>
        <w:rPr>
          <w:b/>
        </w:rPr>
        <w:t>E. 1.5.1</w:t>
      </w:r>
    </w:p>
    <w:p>
      <w:r>
        <w:t>Secondo la prassi del Tribunale federale, qualora un patrocinatore rappre- senti più imputati nello stesso procedimento può verificarsi un caso di con- flitto di interessi, tale da giustificare l’esclusione di un difensore in quanto un rappresentante legale coinvolto in questa situazione non è in grado di garantire una difesa adeguata (v. sentenze del Tribunale federale 1B_7/2009 del 16 marzo 2009, consid. 5.6 e 5.8; 1P.227/2005 del 13 mag- gio 2005, consid. 3.1). L’art. 127 cpv. 3 del Codice di diritto processuale penale svizzero (CPP; RS 312.0), applicabile in virtù del rinvio di cui all’art. 54 CPP, prevede che “entro i limiti di quanto disposto dalla legge e dalle norme deontologiche, nello stesso procedimento il patrocinatore può curare gli interessi di più partecipanti”. Giusta l’art. 12 lett. c della legge federale del 23 giugno 2000 sulla libera circolazione degli avvocati (LLCA; RS 935.61) l’avvocato “evita qualsiasi conflitto tra gli interessi del suo cliente e quelli delle persone con cui ha rapporti professionali o privati”. Di principio</w:t>
      </w:r>
    </w:p>
    <w:p>
      <w:r>
        <w:t>- 5 -</w:t>
      </w:r>
    </w:p>
    <w:p>
      <w:r>
        <w:t>si è in presenza di un conflitto di interessi nel caso di difesa multipla da par- te dello stesso avvocato allorquando un legale nello stesso tempo consiglia o patrocina davanti ad un tribunale diverse parti con interessi contrastanti (cfr. FELLMANN, Kommentar zum Anwaltsgesetz, Zurigo/Basilea/Ginevra 2005, art. 12 LLCA N. 96 e segg.; HESS, Verbot von Interessenkollisionen bei Prozessvertretungen und bei beratender Tätigkeit, Anwalts Revue 1/2005, pag. 23 segg.; STUDER, Die Doppelvertretung nach Art. 12 lit. c BGFA, Anwaltsrevue 6-7/2004, pag. 234 e segg.; TPF 2009 69 consid. 2.2; TPF 2007 38 consid. 3). Il caso classico di conflitto di interessi in presenza di duplice patrocinio si realizza quando un avvocato assume la difesa di due imputati che si accusano reciprocamente (RUCKSTUHL, Vertretung von Tatverdächtigen im Vorverfahren, in: Niggli/Weissenberger [ed.], Strafver- teidigung, Basilea 2002, N. 3.45 e segg.). Nel procedimento penale è di principio escluso che un avvocato rappresenti due o più imputati nella stes- sa procedura, in quanto la possibilità di un conflitto di interessi è insita in una situazione di duplice patrocinio. L’esistenza di un conflitto di interessi deve essere valutata in modo astratto. In questo senso è sufficiente l’ipotetica possibilità che un conflitto di interessi si presenti nel corso della procedura. Il consenso espresso del cliente ad un duplice patrocinio non muta la situazione (sentenza del Tribunale federale 1B_7/2009, consid. 5.5; TPF 2009 69 consid. 2.2; TPF 2007 38 consid. 3).</w:t>
      </w:r>
    </w:p>
    <w:p>
      <w:r>
        <w:rPr>
          <w:b/>
        </w:rPr>
        <w:t>E. 1.5.2</w:t>
      </w:r>
    </w:p>
    <w:p>
      <w:r>
        <w:t>Nella fattispecie, tanto A. SA che C., quest'ultimo presidente con diritto di firma individuale della prima dal gennaio 2007 al febbraio 2011 (v. act. 1.3), perseguono lo stesso scopo, vale a dire quello di evitare che la società pa- tisca un danno a seguito della decisione di entrata in materia e decisione incidentale parziale qui impugnata. A questo stadio della procedura ed in assenza di interessi contrastanti tra di essi, non è possibile ravvisare, nep- pure in maniera astratta, l’esistenza di un conflitto di interessi nel fatto che A. SA e C. siano entrambi patrocinati dall’avv. Yasar Ravi. La censura sol- levata dal MP/TI non può pertanto trovare accoglimento.</w:t>
      </w:r>
    </w:p>
    <w:p>
      <w:r>
        <w:rPr>
          <w:b/>
        </w:rPr>
        <w:t>E. 2</w:t>
      </w:r>
    </w:p>
    <w:p>
      <w:r>
        <w:t>A. SA sostiene che il sequestro della sua relazione bancaria presso la ban- ca F. SA le causerebbe un pregiudizio immediato e irreparabile. La ricor- rente, la quale fa capo agli averi presenti sul suddetto conto anche per la gestione del Bar G. di Z. (v. act. 1.3), sarebbe infatti impossibilitata a prov- vedere ai suoi obblighi contrattuali, come il pagamento della pigione del bar, dei salari dei dipendenti, delle spese di gestione correnti e dei fornitori. Tale situazione l’esporrebbe a procedure esecutive e, a lungo andare, comporterebbe il deposito dei bilanci ed il fallimento dell’esercizio pubblico.</w:t>
      </w:r>
    </w:p>
    <w:p>
      <w:r>
        <w:rPr>
          <w:b/>
        </w:rPr>
        <w:t>E. 2.1</w:t>
      </w:r>
    </w:p>
    <w:p>
      <w:r>
        <w:t>In base alla giurisprudenza, nel caso di ricorsi rivolti contro decisioni inci- dentali ai sensi dell’art. 80e cpv. 2 AIMP, spetta al ricorrente indicare, nel</w:t>
      </w:r>
    </w:p>
    <w:p>
      <w:r>
        <w:t>- 6 -</w:t>
      </w:r>
    </w:p>
    <w:p>
      <w:r>
        <w:t>proprio atto ricorsuale, in che cosa consiste l’allegato pregiudizio e dimo- strare che questo non potrebbe essere sanato mediante un giudizio che annulli, se del caso, la susseguente decisione di chiusura (DTF 130 II 329 consid. 2; 128 II 353 consid. 3 e rinvii). Per quanto riguarda il pregiudizio da prendere in considerazione, in particolare nel caso di sequestro di beni e valori, può trattarsi dell’impossibilità di adempiere delle obbligazioni contrat- 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 ver far fronte a delle spese correnti, invocata nel ricorso, non è sufficiente, in linea di massima, a rendere verosimile un pregiudizio immediato e irre- parabile ai sensi della predetta disposizione (DTF 130 II 329 consid. 2; sen- tenza del Tribunale penale federale RR.2007.43 del 16 maggio 2007, con- sid. 2.2 e rinvii).</w:t>
      </w:r>
    </w:p>
    <w:p>
      <w:r>
        <w:rPr>
          <w:b/>
        </w:rPr>
        <w:t>E. 2.2</w:t>
      </w:r>
    </w:p>
    <w:p>
      <w:r>
        <w:t>Nella fattispecie, la società ricorrente non ha fornito nessun elemento tale da chiarire la propria situazione economica, omettendo in particolare di produrre i documenti che provano i pagamenti e le spese cui dovrebbe far fronte nella gestione del Bar G. L’affermazione secondo cui A. SA non di- sporrebbe di beni per poter far fronte alle spese correnti e di gestione del suddetto esercizio pubblico risulta pertanto priva di qualsiasi riscontro fat- tuale e concreto. In queste condizioni è evidente che la ricorrente non è stata in grado di rendere verosimile l'insorgere per lei, in assenza di uno sblocco totale o parziale del suo conto, di un pregiudizio immediato ed irre- parabile.</w:t>
      </w:r>
    </w:p>
    <w:p>
      <w:r>
        <w:rPr>
          <w:b/>
        </w:rPr>
        <w:t>E. 2.3</w:t>
      </w:r>
    </w:p>
    <w:p>
      <w:r>
        <w:t>Da quanto sopra discende che il gravame è inammissibile per mancanza di un pregiudizio immediato e irreparabile giusta l’art. 80e cpv. 2 lett. a AIMP, il che rende superfluo l'esame delle restanti censure, le quali potranno es- sere se del caso sollevate contro un'eventuale decisione di chiusura come previsto esplicitamente dal legislatore all'art. 80e cpv. 1 AIMP (v. Messag- gio del 29 marzo 1995, pag. 13 e 31; PAOLO BERNASCONI, Banche e impre- se nel procedimento penale, Lugano/Basilea 2011, pag. 345).</w:t>
      </w:r>
    </w:p>
    <w:p>
      <w:r>
        <w:rPr>
          <w:b/>
        </w:rPr>
        <w:t>E. 3</w:t>
      </w:r>
    </w:p>
    <w:p>
      <w:r>
        <w:t>Le spese seguono la soccombenza (v. art. 63 cpv. 1 della legge federale sulla procedura amministrativa del 20 dicembre 1968 [PA; RS 172.021] ri- chiamato l'art. 39 cpv. 2 lett. b LOAP). La tassa di giustizia è calcolata giu- sta l'art. 73 cpv. 2 LOAP, 63 cpv. 4bis PA, nonché 5 e 8 cpv. 3 del Regola- mento del 31 agosto 2010 sulle spese, gli emolumenti, le ripetibili e le in- dennità della procedura penale federale (RSPPF; RS 173.713.162) ed è fissata nella fattispecie a fr. 4'000.--; essa è coperta dall’anticipo delle spe- 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