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RR.2011.247 vom 1. Februar 2012</w:t>
      </w:r>
    </w:p>
    <w:p>
      <w:r>
        <w:t>Bundesstrafgericht, 2012-02-01, IT</w:t>
      </w:r>
    </w:p>
    <w:p>
      <w:r>
        <w:rPr>
          <w:b/>
        </w:rPr>
        <w:t xml:space="preserve">Quelle: </w:t>
      </w:r>
      <w:r>
        <w:t>https://mcp.opencaselaw.ch/entscheid/bstger_RR.2011.247</w:t>
      </w:r>
    </w:p>
    <w:p>
      <w:r>
        <w:t>FR: TPF RR.2011.247 du 1 février 2012</w:t>
      </w:r>
    </w:p>
    <w:p>
      <w:r>
        <w:t>IT: TPF RR.2011.247 del 1 febbraio 2012</w:t>
      </w:r>
    </w:p>
    <w:p>
      <w:pPr>
        <w:pStyle w:val="Heading2"/>
      </w:pPr>
      <w:r>
        <w:t>Regeste</w:t>
      </w:r>
    </w:p>
    <w:p>
      <w:r>
        <w:t>Assistenza giudiziaria internazionale in materia penale all'Italia/Consegna dei mezzi di prova (art. 74 AIMP): sovranità e territorialità nazionale; trasmissione spontanea di informazioni; esposto dei fatti.</w:t>
      </w:r>
    </w:p>
    <w:p>
      <w:pPr>
        <w:pStyle w:val="Heading2"/>
      </w:pPr>
      <w:r>
        <w:t>Erwägungen</w:t>
      </w:r>
    </w:p>
    <w:p>
      <w:r>
        <w:rPr>
          <w:b/>
        </w:rPr>
        <w:t>E. 1.1</w:t>
      </w:r>
    </w:p>
    <w:p>
      <w:r>
        <w:t>In virtù dell'art. 37 cpv. 2 lett. a della legge federale del 19 marzo 2010 sull' organizzazione delle autorità penali della Confederazione (LOAP; RS 173.71) e 19 cpv. 2 del regolamento del 31 agosto 2010 sull'organizzazione del Tribunale penale federale (ROTPF; RS 173.713.161; nuovo testo giusta il n. I dell'ordinanza del 23 agosto 2011, in vigore dal 1° gennaio 2012, RU 2011 4495), la Corte dei reclami penali giudica i gravami in materia di assi- 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w:t>
      </w:r>
    </w:p>
    <w:p>
      <w:r>
        <w:t>- 4 -</w:t>
      </w:r>
    </w:p>
    <w:p>
      <w:r>
        <w:t>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 tamente alla relativa ordinanza (OAIMP; RS 351.11; v. art. 1 cpv. 1 AIMP, art. I n. 2 Accordo italo-svizzero; DTF 136 IV 82 consid. 3.1; 135 IV 212 consid. 2.3; 123 II 134 consid. 1a; 122 II 140 consid. 2). Il principio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federale d’esecuzione nonché congiuntamente contro decisioni incidentali anteriori, il ricorso è ricevibile sotto il profilo dell’art. 80k in rela- zione con l’art. 25 cpv. 1 AIMP. La legittimazione dei ricorrenti, titolari dei conti oggetto delle criticate misure d'assistenza, è pacifica (v. art. 80h lett. b AIMP e art. 9a lett. a OAIMP; DTF 137 IV 134 consid. 5.2.1; 118 Ib 547 consid. 1d; TPF 2007 79 consid. 1.6).</w:t>
      </w:r>
    </w:p>
    <w:p>
      <w:r>
        <w:rPr>
          <w:b/>
        </w:rPr>
        <w:t>E. 2</w:t>
      </w:r>
    </w:p>
    <w:p>
      <w:r>
        <w:t>Gli insorgenti lamentano in primo luogo una violazione dei principi della so- vranità e della territorialità elvetica, quindi dell’ordine pubblico svizzero da parte delle autorità giudiziarie italiane. Esse avrebbero, senza autorizzazio- ne alcuna, eseguito atti istruttori sul territorio della Confederazione in viola- zione dell’art. 271 cpv. 1 CP (v. tra gli altri act. 1.8, 1.9 e 1.10). In questo contesto, A. e la società B. richiedono in particolare alle autorità roganti leccesi la trascrizione di tutte le conversazioni telefoniche ed ambientali in- tercettate all’interno della Mercedes CLK immatricolata in Ticino di E., non- ché la trasmissione delle apparecchiature di cui al doc. 14.1, in modo da determinare scientificamente dove e quando il suddetto veicolo si è trovato sul territorio svizzero e raffrontare questi dati con le risultanze istruttorie ita-</w:t>
      </w:r>
    </w:p>
    <w:p>
      <w:r>
        <w:t>- 5 -</w:t>
      </w:r>
    </w:p>
    <w:p>
      <w:r>
        <w:t>liane. Dal canto loro l’UFG e il MPC, richiamata una dichiarazione in questo senso rilasciata dalle autorità giudiziarie della vicina Penisola (v. act. 1.12), hanno sottolineato come le attività di indagine svolte da quest’ultime attra- verso intercettazioni telefoniche ed ambientali, compiute con la “tecnica dell’istradamento”, non sono state poste in essere sul territorio svizzero, di modo che nessun interesse essenziale della Confederazione è stato infran- to.</w:t>
      </w:r>
    </w:p>
    <w:p>
      <w:r>
        <w:rPr>
          <w:b/>
        </w:rPr>
        <w:t>E. 2.1</w:t>
      </w:r>
    </w:p>
    <w:p>
      <w:r>
        <w:t>Secondo la giurisprudenza costante, il diritto internazionale consuetudinario esclude l'esercizio dei poteri pubblici da parte di uno Stato sul territorio di un altro Stato senza il consenso di quest'ultimo (cosiddetto "ius excludendi alios"; v. sentenze del Tribunale federale 2C_201/2011 del 7 ottobre 2011, consid. 2.1; 2C_197/2011 del 22 marzo 2011, consid. 2; 2A.49/1992 del 26 novembre 1992, consid. 2b, in RDAT 1993 I n. 68 pag. 175).</w:t>
      </w:r>
    </w:p>
    <w:p>
      <w:r>
        <w:rPr>
          <w:b/>
        </w:rPr>
        <w:t>E. 2.2</w:t>
      </w:r>
    </w:p>
    <w:p>
      <w:r>
        <w:t>Nel caso concreto, dagli atti di causa e dal parallelo procedimento oggetto della sentenza RR.2011.176 (v. supra lett. C) si evince come nei mesi suc- cessivi alla ricezione della comunicazione spontanea di informazioni del 25 ottobre 2010 del MPC (v. act. 12.5), l’autorità inquirente italiana ha con- dotto investigazioni ed indagini in merito alla posizione di A., soprattutto at- traverso intercettazioni telefoniche ed ambientali (v. RR.2011.176 consid. 2.2). Sulla base delle risultanze raccolte, la Procura della Repubblica di Lecce ha poi indirizzato alle autorità elvetiche una domanda di assistenza giudiziaria internazionale (v. v. RR.2011.176 consid. 2.2). Alcune di queste intercettazioni riguardano utenze telefoniche svizzere ed un veicolo imma- tricolato nel Canton Ticino. Con scritto del 19 agosto 2011 l’autorità rogante ha dichiarato e confermato che nessuna delle suddette misure di ascolto ri- guardante cittadini svizzeri o residenti sul territorio della Confederazione, eseguite conformemente alla legislazione italiana e nel rispetto delle con- venzioni ratificate dalla vicina Penisola, è stata posta in essere sul territorio elvetico con uso di centrali ivi situate e che nessuna attività istruttoria vi ha avuto luogo (v. act. 1.12). Essa ha poi sottolineato che gli ascolti sono av- venuti con la cosiddetta “tecnica dell’istradamento”, la quale consiste nell’intercettazione delle sole conversazioni – in partenza dal territorio ita- liano (sia da utenza italiana che di altra nazionalità) e dirette verso utenze straniere – in transito da centrali telefoniche situate sul territorio italiano (v. RR.2011.176 consid. 2.2). Ora, non vi è alcuna ragione di dubitare della ve- ridicità delle affermazioni delle autorità estere, né vi sono agli atti elementi per ritenere che le autorità di perseguimento penale italiane avrebbero vio- lato la sovranità e la territorialità svizzera mediante intercettazioni illegali in urto con i più elementari principi della buona fede fra Stati (v. ROBER ZIMMERMANN, La coopération judiciaire internationale en matière pénale, 3a ediz., Berna 2009, pag. 199 e segg. n. 205 e segg.). Tutte le intercettazioni sono state effettuate e correttamente autorizzate in Italia, compresa l'istal-</w:t>
      </w:r>
    </w:p>
    <w:p>
      <w:r>
        <w:t>- 6 -</w:t>
      </w:r>
    </w:p>
    <w:p>
      <w:r>
        <w:t>lazione di microfoni su un veicolo svizzero che è stata effettuata quando esso si trovava in Italia. Anche per le intercettazioni ambientali le autorità italiane hanno altresì utilizzato collegamenti telefonici radiomobili per cui le conversazioni transitano attraverso le stesse centrali telefoniche e possono essere intercettate solo quelle che transitano nelle centrali italiane (v. act. 1.12, pag. 2). Le censure in questo ambito vanno di conseguenza respinte.</w:t>
      </w:r>
    </w:p>
    <w:p>
      <w:r>
        <w:rPr>
          <w:b/>
        </w:rPr>
        <w:t>E. 3</w:t>
      </w:r>
    </w:p>
    <w:p>
      <w:r>
        <w:t>I ricorrenti sostengono poi che le autorità roganti, in violazione di quanto previsto all’art. 67 AIMP (recte art. 67a AIMP), avrebbero utilizzato le infor- mazioni inerenti la sfera segreta di A. contenute nella comunicazione spon- tanea del MPC, e meglio l’esistenza in Svizzera di un conto bancario a lui intestato, quale vero e proprio mezzo di prova, in particolare per ottenere autorizzazioni alla predisposizione di intercettazioni telefoniche ed ambien- tali.</w:t>
      </w:r>
    </w:p>
    <w:p>
      <w:r>
        <w:rPr>
          <w:b/>
        </w:rPr>
        <w:t>E. 3.1</w:t>
      </w:r>
    </w:p>
    <w:p>
      <w:r>
        <w:t>Secondo l'art. XXVIII n. 1 dell'Accordo italo-svizzero, fatto salvo il diritto na- zionale e nei limiti delle loro competenze, le autorità giudiziarie di uno dei due Stati possono, senza richiesta preventiva, trasmettere a un'autorità giudiziaria dell'altro Stato informazioni relative a fatti penali quando: riten- gono che la comunicazione di queste informazioni potrebbe aiutare l'autori- tà destinataria a intraprendere o portare a buon fine indagini e procedimenti (lett. a) oppure queste informazioni potrebbero concludersi con una do- manda formulata da questa autorità in virtù della CEAG o del presente Ac- cordo (lett. b). Quanto precede è in sostanza ribadito all'art. 10 CRic, se- condo il quale senza pregiudicare le proprie indagini o le proprie procedure, ciascuna Parte, senza esserne stata preventivamente richiesta, può tras- mettere a un’altra Parte informazioni su strumenti o su proventi se ritiene che la comunicazione di tali informazioni potrebbe aiutare la Parte riceven- te ad iniziare o a svolgere indagini o procedure, ovvero potrebbe portare a una richiesta di quest’ultima Parte ai sensi delle disposizioni del terzo capi- tolo della CRic. L'art. 67a cpv. 1 AIMP prevede, infine, che l'autorità di per- seguimento penale può trasmettere a un'autorità omologa estera mezzi di prova acquisiti per la propria inchiesta, se ritiene che tale comunicazione sia idonea a promuovere un procedimento (lett. a) o a facilitare un'istruzio- ne penale pendente (lett. b). Non possono essere trasmessi all'autorità estera mezzi di prova inerenti alla sfera segreta (v. art. 67a cpv. 4 AIMP). Per contro, informazioni inerenti alla sfera segreta possono essere fornite se permettono allo Stato estero di presentare una domanda d'assistenza giudiziaria alla Svizzera (art. 67a cpv. 5 AIMP). Per quanto riguarda la do- cumentazione bancaria, la quale costituisce mezzo di prova protetto dall' art. 47 della legge federale sulle banche e le casse di risparmio dell'8 no- vembre 1934 (LBCR; RS 952.0; v. ZIMMERMANN, op. cit., n. 415 pag. 383;</w:t>
      </w:r>
    </w:p>
    <w:p>
      <w:r>
        <w:t>- 7 -</w:t>
      </w:r>
    </w:p>
    <w:p>
      <w:r>
        <w:t>ALEXANDER M. GLUTZ VON BLOTZHEIM, Die spontane Übermittlung, Die un- aufgeforderte Übermittlung von Beweismitteln und Informationen ins Aus- land gemäss Art. 67a IRSG, tesi basilese, Zurigo/San Gallo 2010, pag. 165), è possibile avvertire l'autorità estera dell'esistenza di un conto banca- rio, indicandone le referenze, il titolare, l'avente diritto ed il contenuto, in- formazioni utili per la presentazione di una domanda di assistenza (DTF 130 II 236 consid. 6.2; 125 II 356 consid. 12c). Presupposta è in ogni caso la sussistenza in Svizzera di un procedimento penale (v. ROBERT ZIMMERMANN, Communication d'informations et de renseignements pour les besoins de l'entraide judiciaire internationale en matière pénale; un para- digme perdu?, in AJP/PJA 1/2007, pag. 65; GLUTZ VON BLOTZHEIM, op. cit., pag. 76 e segg.).</w:t>
      </w:r>
    </w:p>
    <w:p>
      <w:r>
        <w:rPr>
          <w:b/>
        </w:rPr>
        <w:t>E. 3.2</w:t>
      </w:r>
    </w:p>
    <w:p>
      <w:r>
        <w:t>Nella fattispecie, il MPC, mediante la sua comunicazione spontanea di in- formazioni del 25 ottobre 2010, metteva al corrente la Procura della Re- pubblica presso il Tribunale di Lecce dell'esistenza in Svizzera di una pro- cedura penale in corso contro A. ed ignoti per titolo di riciclaggio di denaro. A seguito della conoscenza del fatto che l’interessato era sottoposto in Ita- lia ad un procedimento per truffa, il MPC ha comunicato l'esistenza in Svizzera di una relazione bancaria di cui l’interessato è titolare ed avente diritto economico (v. act. 12.5). Orbene, avendo il MPC indicato unicamen- te l’esistenza di un conto bancario senza trasmettere documentazione ban- caria, concernente una persona indagata in Svizzera e all' estero, ciò che ha permesso all'autorità italiana di presentare in seguito una domanda di assistenza giudiziaria a supporto della propria inchiesta, esso ha fatto uso dello strumentario istituzionale a sua disposizione in maniera corretta ed adeguata.</w:t>
      </w:r>
    </w:p>
    <w:p>
      <w:r>
        <w:t>Ora, come rettamente indicato dall’UFG e dal MPC nelle loro risposte dell’11 novembre 2011 (v. act. 11 e 12), le autorità italiane non hanno uti- lizzato le informazioni ricevute quale mezzo di prova nella procedura di me- rito, ma unicamente nell’ambito delle loro indagini per ottenere in particola- re dal GIP italiano la predisposizione di intercettazioni telefoniche delle per- sone indagate. Ciò era finalizzato a promuovere un procedimento penale (conformemente all'art. 67a cpv. 1 lett. a AIMP) per l’ipotizzato reato di cor- ruzione per atti contrari ai doveri d’ufficio, e a facilitare un’istruzione penale pendente (conformemente all'art. 67a cpv. 1 lett. b AIMP) per quanto attie- ne al supposto reato di truffa aggravata, così da consentire in seguito all' autorità estera di presentare una domanda d’assistenza giudiziaria interna- zionale alla Svizzera (conformemente all'art. 67a cpv. 5 AIMP).</w:t>
      </w:r>
    </w:p>
    <w:p>
      <w:r>
        <w:t>Contrariamente a quanto sostenuto dai ricorrenti le autorità roganti hanno pertanto utilizzato le informazioni ottenute dalle autorità svizzere in maniera conforme alle disposizioni internazionali e nazionali vigenti in materia. An-</w:t>
      </w:r>
    </w:p>
    <w:p>
      <w:r>
        <w:t>- 8 -</w:t>
      </w:r>
    </w:p>
    <w:p>
      <w:r>
        <w:t>che queste censure vanno dunque disattese.</w:t>
      </w:r>
    </w:p>
    <w:p>
      <w:r>
        <w:rPr>
          <w:b/>
        </w:rPr>
        <w:t>E. 4</w:t>
      </w:r>
    </w:p>
    <w:p>
      <w:r>
        <w:t>A. e la società B. sostengono infine che la compilazione della domanda di assistenza giudiziaria è lacunosa e irrispettosa dei requisiti posti dal diritto federale. La rogatoria non riferirebbe le modalità con cui l’ipotesi corruttiva sarebbe stata consumata, in particolare limitandosi a menzionare i reati di corruzione passiva e truffa aggravata, senza identificare i corruttori.</w:t>
      </w:r>
    </w:p>
    <w:p>
      <w:r>
        <w:rPr>
          <w:b/>
        </w:rPr>
        <w:t>E. 4.1</w:t>
      </w:r>
    </w:p>
    <w:p>
      <w:r>
        <w:t>Gli art. 14 CEAG, 27 n. 1 CRic e 28 AIMP esigono in sostanza che la do- manda di assistenza indichi il suo oggetto, il motivo, la qualificazione giuri- dica dei reati, presentando altresì un breve esposto dei fatti essenziali, al fine di permettere allo Stato rogato di verificare che non sussistano condi- zioni ostative all'assistenza (DTF 129 II 97 consid. 3; 118 Ib 111 consid. 5b, 547 consid. 3a; 117 Ib 64 consid. 5c). In questo ambito, non si può tuttavia pretendere dallo Stato richiedente la presentazione di un esposto dei fatti totalmente esente da lacune o contraddizioni, visto che lo scopo della roga- toria è proprio quello di chiarire punti oscuri relativi alle fattispecie oggetto d'indagine all'estero, fermo restando che la verifica delle condizioni per la concessione dell'assistenza deve rimanere possibile (v. DTF 117 Ib 64 con- sid. 5c, con giurisprudenza citata). Ciò non implica per lo Stato richiedente l'obbligo di provare la commissione del reato, ma solo quello di esporre in modo sufficiente le circostanze sulle quali fonda i propri sospetti, in modo tale da escludere che sussista un'inammissibile ricerca indiscriminata di prove (v. su questo tema DTF 129 II 97 consid. 3.1; 125 II 65 consid. 6b/aa; 122 II 367 consid. 2c). L'esame della colpevolezza è riservato al giudice straniero del merito ed esula dalle competenze di quello svizzero dell'assi- stenza (DTF 113 Ib 276 consid. 3a; 112 Ib 576 consid. 3; sentenza del Tri- bunale federale 1C:562/2011 del 22 dicembre 2011, consid. 1.5).</w:t>
      </w:r>
    </w:p>
    <w:p>
      <w:r>
        <w:rPr>
          <w:b/>
        </w:rPr>
        <w:t>E. 4.2</w:t>
      </w:r>
    </w:p>
    <w:p>
      <w:r>
        <w:t>Nella fattispecie, dalla rogatoria del 21 marzo 2011 (v. RR.2011.176 con- sid. 4.2) e relativi allegati, nonché dal complemento rogatoriale del 2 mag- gio successivo (v. RR.2011.176 consid. 4.2), risultano con sufficiente chia- rezza i fatti oggetto d'indagine all'estero. Nella sua richiesta l'autorità di perseguimento italiana dichiara che A. è sospettato di aver concorso, nella sua veste di consulente giuridico del sindaco di Lecce all'epoca in carica, alla perpetrazione di una truffa ai danni del predetto comune finalizzata a favorire i titolari di un'impresa operante in forma di società di capitali, i cui dettagli sono ben evidenziati sia nel decreto di applicazione della misura cautelare reale del sequestro preventivo per equivalente pronunciato dal GIP del Tribunale di Lecce in data 25 gennaio 2010 nei confronti del ricor- rente, che nel decreto del 28 gennaio 2011 che dispone il giudizio emesso dalla medesima autorità, documenti ai quali la rogatoria rimanda (v.</w:t>
      </w:r>
    </w:p>
    <w:p>
      <w:r>
        <w:t>- 9 -</w:t>
      </w:r>
    </w:p>
    <w:p>
      <w:r>
        <w:t>RR.2011.176 consid. 4.2). La corruzione per atti contrari ai doveri d'ufficio, oggetto di un processo separato a carico del A., si inserisce proprio nel contesto della suddetta truffa, nel senso che lo stesso è sospettato di es- sersi attivato per ricevere denaro dai beneficiari della truffa alla quale egli stesso avrebbe concorso, valori che sarebbero poi giunti su conti bancari in Svizzera. L'inchiesta dovrà verosimilmente permettere, grazie anche alla rogatoria presentata alla Svizzera, di esaminare in maniera accurata la po- sizione dell’interessato, nonché individuare eventuali altre persone implica- te nei fatti. In conclusione, la descrizione dei fatti contenuta nella rogatoria e nel suo complemento adempie senz'altro i requisiti normativi e giurispru- denziali summenzionati (v. consid. 4.1 supra). La relativa censura va per- tanto respinta.</w:t>
      </w:r>
    </w:p>
    <w:p>
      <w:r>
        <w:rPr>
          <w:b/>
        </w:rPr>
        <w:t>E. 5</w:t>
      </w:r>
    </w:p>
    <w:p>
      <w:r>
        <w:t>In conclusione, il ricorso va respinto. Le spese seguono la soccombenza (v. art. 63 cpv. 1 della legge federale sulla procedura amministrativa del 20 di- 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5'000.--; essa è coperta dall’anticipo delle spese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