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RR.2011.232 vom 12. Oktober 2011</w:t>
      </w:r>
    </w:p>
    <w:p>
      <w:r>
        <w:t>Bundesstrafgericht, 2011-10-12, FR</w:t>
      </w:r>
    </w:p>
    <w:p>
      <w:r>
        <w:rPr>
          <w:b/>
        </w:rPr>
        <w:t xml:space="preserve">Quelle: </w:t>
      </w:r>
      <w:r>
        <w:t>https://mcp.opencaselaw.ch/entscheid/bstger_RR.2011.232</w:t>
      </w:r>
    </w:p>
    <w:p>
      <w:r>
        <w:t>FR: TPF RR.2011.232 du 12 octobre 2011</w:t>
      </w:r>
    </w:p>
    <w:p>
      <w:r>
        <w:t>IT: TPF RR.2011.232 del 12 ottobre 2011</w:t>
      </w:r>
    </w:p>
    <w:p>
      <w:pPr>
        <w:pStyle w:val="Heading2"/>
      </w:pPr>
      <w:r>
        <w:t>Regeste</w:t>
      </w:r>
    </w:p>
    <w:p>
      <w:r>
        <w:t>Entraide judiciaire internationale en matière pénale au Portugal. Transmission de moyens de preuve (art. 74 EIMP). Insuffisance de l'état de fait de la demande d'entraide, avérée en l'espèce (consid. 3 et 4).</w:t>
      </w:r>
    </w:p>
    <w:p>
      <w:pPr>
        <w:pStyle w:val="Heading2"/>
      </w:pPr>
      <w:r>
        <w:t>Erwägungen</w:t>
      </w:r>
    </w:p>
    <w:p>
      <w:r>
        <w:rPr>
          <w:b/>
        </w:rPr>
        <w:t>E. 1</w:t>
      </w:r>
    </w:p>
    <w:p>
      <w:r>
        <w:t>L'entraide judiciaire entre le Portugal et la Confédération suisse est régie en premier lieu par la Convention européenne d’entraide judiciaire en ma- tière pénale (CEEJ; 0.351.1) et par le Deuxième Protocole additionnel à la CEEJ (RS 0.351.12). Peut également s'appliquer en l'occurrence la Convention n° 141 du Conseil de l’Europe relative au blanchiment, au dé- pistage, à la saisie et à la confiscation des produits du crime (CBl; RS 0.311.53). A compter du 12 décembre 2008, les art. 48 ss de la Convention d’application de l’Accord Schengen du 14 juin 1985 (CAAS; n° CELEX 42000A0922(02); Journal officiel de l’Union européenne L 239 du 22 septembre 2000, p. 19 à 62) s’appliquent également à l’entraide pénale entre la Suisse et le Portugal. Pour le surplus, la loi fédérale sur l’entraide internationale en matière pénale (EIMP; RS 351.1) et son ordonnance d'exécution (OEIMP; RS 351.11) règlent les questions qui ne sont pas ré- gies, explicitement ou implicitement, par les traités (ATF 130 II 337 consid. 1; 128 II 355 consid. 1 et la jurisprudence citée). Le droit interne s'applique en outre lorsqu'il est plus favorable à l'octroi de l’entraide (ATF 122 II 140 consid. 2 et les arrêts cités). Le droit le plus favorable à l’entraide s’applique aussi pour ce qui concerne le rapport entre elles des normes in- ternationales pertinentes (v. art. 48 par. 2 CAAS et art. 39 CBl). L'applica-</w:t>
      </w:r>
    </w:p>
    <w:p>
      <w:r>
        <w:t>- 4 - tion de la norme la plus favorable (principe dit «de faveur») doit avoir lieu dans le respect des droits fondamentaux (ATF 135 IV 212 consid. 2.3).</w:t>
      </w:r>
    </w:p>
    <w:p>
      <w:r>
        <w:rPr>
          <w:b/>
        </w:rPr>
        <w:t>E. 1.1</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rendues par l’autorité cantonale d’exécution.</w:t>
      </w:r>
    </w:p>
    <w:p>
      <w:r>
        <w:rPr>
          <w:b/>
        </w:rPr>
        <w:t>E. 1.2</w:t>
      </w:r>
    </w:p>
    <w:p>
      <w:r>
        <w:t>Aux termes de l’art. 80h let. b EIMP, a qualité pour recourir en matière de «petite entraide» quiconque est personnellement et directement touché par une mesure d’entraide et a un intérêt digne de protection à ce qu’elle soit annulée ou modifiée (v. ATF 137 IV 134 consid. 5 et renvois). L’art. 9a let. a OEIMP reconnaît au titulaire d’un compte bancaire la qualité pour re- courir contre la remise à l’Etat requérant de documents relatifs à ce compte. En application de ces principes, la qualité pour recourir est recon- nue aux sociétés A., B. et C. (ci-après: les recourantes), en tant que titulai- res des comptes touchés par la mesure querellée. Formé dans le délai de 30 jours à compter de la notification de la décision querellée, le recours est formellement recevable (art. 80k EIMP).</w:t>
      </w:r>
    </w:p>
    <w:p>
      <w:r>
        <w:rPr>
          <w:b/>
        </w:rPr>
        <w:t>E. 2</w:t>
      </w:r>
    </w:p>
    <w:p>
      <w:r>
        <w:t>A titre liminaire, il y a lieu de relever que le complément de requête d’entraide du 2 août 2011 adressé par l’autorité requérante et transmis à la Cour par l’OFJ en date du 10 octobre 2011 (act. 9) doit encore faire l’objet d’une décision de clôture de l’autorité d’exécution (art. 80d EIMP). Elle ne saurait dès lors être appréciée dans le cadre du présent recours.</w:t>
      </w:r>
    </w:p>
    <w:p>
      <w:r>
        <w:rPr>
          <w:b/>
        </w:rPr>
        <w:t>E. 3</w:t>
      </w:r>
    </w:p>
    <w:p>
      <w:r>
        <w:t>Les recourantes estiment que la demande d’entraide ne ferait état d’aucun comportement susceptible de réaliser les conditions objectives d’une infrac- tion pénale, imputable par hypothèse à D.</w:t>
      </w:r>
    </w:p>
    <w:p>
      <w:r>
        <w:rPr>
          <w:b/>
        </w:rPr>
        <w:t>E. 3.1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w:t>
      </w:r>
    </w:p>
    <w:p>
      <w:r>
        <w:t>- 5 -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 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 çons n'ont pas à être vérifiés dans le cadre de la procédure d'entraide judi- ciaire (arrêt du Tribunal fédéral 1A.297/2004 du 17 mars 2005, consid. 2.1).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3.2</w:t>
      </w:r>
    </w:p>
    <w:p>
      <w:r>
        <w:t>En l’espèce, la demande d’entraide a été présentée pour la répression des chefs d’escroquerie au sens des art. 217ss du Code pénal portugais (ci- après: CP-Po), d’infidélité (art. 224 CP-Po) et de blanchiment (art. 368-A CP-Po). L’autorité requérante expose que la banque F. aurait été utilisée de façon à permettre l’attribution de gains élevés, sans logique commer- ciale, à divers individus, notamment D. «Par l’emploi de plusieurs moyens astucieux», la banque F. aurait été menée à financer des achats d’actifs par D. ou des sociétés contrôlées par lui (act. 2, pièce 2, p. 3). Ces actifs étaient ensuite vendus, pour une valeur supérieure, à d’autres entités, tou-</w:t>
      </w:r>
    </w:p>
    <w:p>
      <w:r>
        <w:t>- 6 - jours grâce au financement de la banque F. (act. 2, pièce 2, p. 2). La ban- que F. promettait en outre contractuellement le rachat des actifs concernés, pour une valeur largement supérieure à celle de la transaction initiale, la- quelle avait déjà été financée par la banque F. (act. 2, pièce 2, p. 3). La «chaîne d’affaires» ainsi décrite aurait engendré un préjudice pour la ban- que F., à hauteur de plusieurs millions d’euros (act. 2, pièce 2, p. 4). Les sommes dégagées de ces transactions auraient ensuite été reversées no- tamment sur les comptes détenus par les recourantes dans les livres de la banque E. (act. 2, pièce 2, p. 5). Dans l’ordonnance de clôture querellée, l’autorité d’exécution a estimé que les faits décrits dans la demande d’entraide pouvaient, prima facie, être constitutifs d'escroquerie et de blan- chiment d'argent (act. 2, pièce 18, p. 3).</w:t>
      </w:r>
    </w:p>
    <w:p>
      <w:r>
        <w:rPr>
          <w:b/>
        </w:rPr>
        <w:t>E. 3.2.1</w:t>
      </w:r>
    </w:p>
    <w:p>
      <w:r>
        <w:t>L'escroquerie se définit, en droit suisse, comme le fait de celui qui, dans le dessein de se procurer ou de procurer à un tiers un enrichissement illégi- time, induit astucieusement en erreur une personne par des affirmations fallacieuses ou par la dissimulation de faits vrais, ou exploite l'erreur dans laquelle se trouve une personne et détermine de la sorte la victime à des actes préjudiciables à ses intérêts pécuniaires ou à ceux d'un tiers (art. 146 ch. 1 CP). L'astuce au sens de cette disposition est réalisée non seulement lorsque l'auteur utilise un édifice de mensonges, des manœuvres fraudu- leuses ou une mise en scène, mais aussi lorsqu'il fait de fausses déclarati- ons dont la vérification ne serait possible qu'au prix d'un effort particulier ou ne pourrait raisonnablement être exigée, ou encore lorsque l'auteur dissua- de la victime de les contrôler, voire prévoit, d'après les rapports de confian- ce particuliers qui le lient à la victime, que celle-ci ne les vérifiera pas (ATF 128 IV 18 consid. 3a; 126 IV 165 consid. 2a; 122 IV 146 consid. 3a et les arrêts cités). Il y a notamment manœuvre frauduleuse lorsque l'auteur fait usage de titres falsifiés ou obtenus sans droit ou de documents menson- gers (ATF 128 IV 18 consid. 3a). En l’espèce, sur la base des faits exposés dans la demande d’entraide, on ignore en premier lieu en quoi la banque F. aurait commis des actes préju- diciables à ses intérêts pécuniaires. Rien n’indique que les financements accordés par cet établissement bancaire ne se traduisent pas par des créances correspondantes. Rien n’indique non plus que la banque F. aurait effectivement procédé à des rachats d’actifs à prix surfait. En second lieu, la demande d’entraide ne mentionne pas quelle est la nature des «moyens astucieux» déployés par D. pour inciter la banque F. à passer des contrats ou à poser des actes préjudiciables à ses intérêts. Dans ces conditions, il n’est pas possible de vérifier, même de manière minimale, si les éléments constitutifs du dommage, d’une part, et de l'astuce, d’autre part, sont réali- sés. L’autorité d’exécution ne pouvait, partant, considérer la condition de la double incrimination comme satisfaite au regard de l'art. 146 CP.</w:t>
      </w:r>
    </w:p>
    <w:p>
      <w:r>
        <w:t>- 7 -</w:t>
      </w:r>
    </w:p>
    <w:p>
      <w:r>
        <w:rPr>
          <w:b/>
        </w:rPr>
        <w:t>E. 3.2.2</w:t>
      </w:r>
    </w:p>
    <w:p>
      <w:r>
        <w:t>Il reste à examiner ce qu'il en est du blanchiment d'argent. En cas de soup- çon de blanchiment, l’autorité requérante n'a pas à indiquer en quoi consis- terait l'infraction principale (ATF 129 II 97 consid. 3.2; arrêt du Tribunal fé- déral 1A.245/1996 du 6 décembre 1996, consid. 4b). L’autorité requérante n’a pas non plus l’obligation d’apporter nécessairement la preuve de la commission des actes de blanchiment ou de l’infraction principale; de sim- ples éléments concrets de soupçon sont suffisants sous l’angle de la dou- ble punissabilité (arrêt du Tribunal fédéral 1A.231/2003 du 6 février 2004, consid. 5.3; CARLO LOMBARDINI, Banques et blanchiment d’argent, Bâle/Genève 2006, p. 53, n. 169). La Suisse doit ainsi pouvoir accorder sa collaboration lorsque le soupçon de blanchiment est uniquement fondé sur l'existence de transactions suspectes. Tel est notamment le cas lorsqu’on est en présence de transactions dénuées de justification apparente, d’utilisation de nombreuses sociétés réparties dans plusieurs pays ou du si- lence du prévenu quant à l’origine des fonds (ATF 129 II 97 consid. 3.3; MARC FOSTER, Internationale Rechtshilfe bei Geldwäschereiverdacht, RPS 124/2006, p. 282 et les références citées). L’importance des sommes ayant donné lieu à des transactions suspectes constitue également un élément de soupçon de blanchiment (arrêt du Tribunal fédéral 1A.188/2005 du 24 octobre 2005, consid. 2.4; arrêt du Tribunal pénal fédéral RR.2008.11 du 3 juillet 2008, consid. 4.5 et références citées). En l’espèce, la demande d’entraide mentionne plusieurs états de faits sup- posés avoir donné lieu à des acquisitions successives d’actifs par différen- tes sociétés contrôlées par des personnes inculpées au Portugal. Au cours de ces transactions, des «valorisations extraordinaires et fictives» auraient été opérées, générant, pour D. notamment, des gains indus, au préjudice de la banque F. L’autorité requérante ne mentionne toutefois pas en quoi la banque F. aurait subi des dommages patrimoniaux, ni comment D. se se- rait enrichi au détriment de cet établissement bancaire. La demande d’entraide ne mentionne pas non plus en quoi les plus-values sur les ven- tes successives seraient «extraordinaires» ou «fictives». Dans ces condi- tions, la Cour estime que l’état de faits présenté à l’appui de la demande d’entraide ne fait pas état de transactions suspectes, au sens de la juris- prudence citée plus haut. En l’état, aucun élément n’est présenté pour fon- der le soupçon du caractère illicite, ni même suspect des contrats ou des flux financiers décrits dans la demande. L’autorité requise ne saurait tenir des transactions pour suspectes, au sens de la jurisprudence précitée, du simple fait que l’autorité requérante qualifie certaines plus-values sur des ventes d’«extraordinaires» ou «fictives», sans autre forme d’explication. En l’occurrence, faute d'indications plus précises à cet égard, la condition de la double incrimination ne peut pas être tenue pour remplie sous l'angle du blanchiment d'argent ou de quelque autre infraction.</w:t>
      </w:r>
    </w:p>
    <w:p>
      <w:r>
        <w:t>- 8 -</w:t>
      </w:r>
    </w:p>
    <w:p>
      <w:r>
        <w:rPr>
          <w:b/>
        </w:rPr>
        <w:t>E. 3.3</w:t>
      </w:r>
    </w:p>
    <w:p>
      <w:r>
        <w:t>Le recours doit être admis pour ce motif et la décision attaquée annulée.</w:t>
      </w:r>
    </w:p>
    <w:p>
      <w:r>
        <w:rPr>
          <w:b/>
        </w:rPr>
        <w:t>E. 4</w:t>
      </w:r>
    </w:p>
    <w:p>
      <w:r>
        <w:t>La décision relative à l'exécution de la demande d'entraide est de nature administrative (ATF 121 II 93 consid. 3b et les références citées). Elle n'est pas, à l'instar d'un jugement civil ou pénal, revêtue de la force de chose ju- gée. Partant, elle peut être réexaminée en tout temps, la décision de clô- ture de la procédure d'entraide ne créant pour le surplus aucun droit sub- jectif pour les parties (ATF 121 II 93 consid. 3b). Si l'Etat requérant ne peut revenir à la charge pour les mêmes faits et les mêmes motifs, en deman- dant les mêmes mesures (ATF 109 Ib 156 consid. 1b), rien ne l'empêche de compléter ou de réitérer sa demande en se fondant sur des faits nou- veaux ou un changement de législation (ATF 112 Ib 215 consid. 4; 111 Ib 242 consid. 6; 109 Ib 156 consid. 3b), de requérir des mesures nouvelles ou encore de demander à l'Etat requis de statuer sur des points laissés in- décis dans le cadre d'une décision précédente (arrêt du Tribunal fédéral 1A.290/2000 du 20 février 2001, consid. 2a et les références citées).</w:t>
      </w:r>
    </w:p>
    <w:p>
      <w:r>
        <w:t>Le dossier est retourné à l’autorité d’exécution pour nouvelle décision no- tamment sur la base de la requête d’entraide complémentaire formée le 2 août 2011 par l’autorité requérante.</w:t>
      </w:r>
    </w:p>
    <w:p>
      <w:r>
        <w:rPr>
          <w:b/>
        </w:rPr>
        <w:t>E. 5</w:t>
      </w:r>
    </w:p>
    <w:p>
      <w:r>
        <w:t>En règle générale, les frais de procédure comprenant l’émolument d’arrêt, les émoluments de chancellerie et les débours sont mis à la charge de la partie qui succombe (art. 63 al. 1 de la loi fédérale sur la procédure admi- nistrative [PA; RS 172.021], applicable par renvoi de l’art. 39 al. 2 let. b LOAP). Aucun frais de procédure n’est mis à la charge des autorités infé- rieures, ni des autorités fédérales recourantes et déboutées; si l’autorité re- courante qui succombe n’est pas une autorité fédérale, les frais de procé- 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 cédure (art. 63 al. 3 PA).</w:t>
      </w:r>
    </w:p>
    <w:p>
      <w:r>
        <w:t>En application de ces principes, le présent arrêt doit être rendu sans frais. La caisse du Tribunal pénal fédéral restituera aux recourantes l’avance de frais versée par CHF 4'000.--.</w:t>
      </w:r>
    </w:p>
    <w:p>
      <w:r>
        <w:t>- 9 -</w:t>
      </w:r>
    </w:p>
    <w:p>
      <w:r>
        <w:rPr>
          <w:b/>
        </w:rPr>
        <w:t>E. 6</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 portés par la collectivité ou par l’établissement autonome au nom de qui l’autorité inférieure a statué (art. 64 al. 2 PA).</w:t>
      </w:r>
    </w:p>
    <w:p>
      <w:r>
        <w:t>En l’espèce, le conseil des recourantes n’a pas produit de liste des opéra- tions effectuées. Le mémoire de recours comporte 10 pages, y compris la page de garde et la reprise du dispositif de l’ordonnance querellée. Les re- courantes ont produit 18 pièces dont un certain nombre déjà connues de la Cour dans le cadre de l’arrêt RR.2010.264-266. Vu l’ampleur et la difficulté relatives de la cause, et dans les limites admises par le règlement du Tri- bunal pénal fédéral sur les frais, émoluments, dépens, et indemnités de la procédure pénale fédérale (RFPPF; RS 173.713.162), l’indemnité est fixée ex aequo et bono à CHF 2'000.-- (TVA comprise), à la charge de la partie adverse.</w:t>
      </w:r>
    </w:p>
    <w:p>
      <w:r>
        <w:t>- 10 - Par ces motifs, la IIe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