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RR.2011.196 vom 16. Januar 2012</w:t>
      </w:r>
    </w:p>
    <w:p>
      <w:r>
        <w:t>Bundesstrafgericht, 2012-01-16, FR</w:t>
      </w:r>
    </w:p>
    <w:p>
      <w:r>
        <w:rPr>
          <w:b/>
        </w:rPr>
        <w:t xml:space="preserve">Quelle: </w:t>
      </w:r>
      <w:r>
        <w:t>https://mcp.opencaselaw.ch/entscheid/bstger_RR.2011.196</w:t>
      </w:r>
    </w:p>
    <w:p>
      <w:r>
        <w:t>FR: TPF RR.2011.196 du 16 janvier 2012</w:t>
      </w:r>
    </w:p>
    <w:p>
      <w:r>
        <w:t>IT: TPF RR.2011.196 del 16 gennaio 2012</w:t>
      </w:r>
    </w:p>
    <w:p>
      <w:pPr>
        <w:pStyle w:val="Heading2"/>
      </w:pPr>
      <w:r>
        <w:t>Regeste</w:t>
      </w:r>
    </w:p>
    <w:p>
      <w:r>
        <w:t>Entraide judiciaire internationale en matière pénale à la Finlande. Remise de moyens de preuves (art. 74 EIMP). Droit d'être entendu; droit de participer à la procédure devant l'autorité d'exécution; levée de l'interdiction de communiquer faite à la banque (consid. 2). Examen de la condition de la double incrimination (consid. 3).</w:t>
      </w:r>
    </w:p>
    <w:p>
      <w:pPr>
        <w:pStyle w:val="Heading2"/>
      </w:pPr>
      <w:r>
        <w:t>Erwägungen</w:t>
      </w:r>
    </w:p>
    <w:p>
      <w:r>
        <w:rPr>
          <w:b/>
        </w:rPr>
        <w:t>E. 1</w:t>
      </w:r>
    </w:p>
    <w:p>
      <w:r>
        <w:t>La Confédération suisse et la Finlande sont toutes deux parties à la Convention européenne d’entraide judiciaire en matière pénale (CEEJ; RS 0.351.1) entrée en vigueur le 29 avril 1981 pour la Finlande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la loi fédérale sur l’entraide internatio- nale en matière pénale (EIMP; RS 351.1) et son ordonnance d’exécution (OEIMP; RS 351.11). Le droit interne reste toutefois applicable aux ques- tions non réglées, explicitement ou implicitement, par le traité lorsqu’il est plus favorable à l’entraide (ATF 136 IV 82 consid. 3.1; 124 II 180 consid. 1.3; 129 II 462 consid. 1.1; arrêt du Tribunal pénal fédéral RR.2010.9 du 15</w:t>
      </w:r>
    </w:p>
    <w:p>
      <w:r>
        <w:t>- 4 -</w:t>
      </w:r>
    </w:p>
    <w:p>
      <w:r>
        <w:t>avril 2010, consid. 1.3). L’application de la norme la plus favorable doit avoir lieu dans le respect des droits fondamentaux (ATF 135 IV 212 consid. 2.3; 123 II 595 consid. 7c).</w:t>
      </w:r>
    </w:p>
    <w:p>
      <w:r>
        <w:rPr>
          <w:b/>
        </w:rPr>
        <w:t>E. 1.1</w:t>
      </w:r>
    </w:p>
    <w:p>
      <w:r>
        <w:t>La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du règlement sur l'organisation du Tribunal pénal fé- déral [ROTPF; RS 173.713.161]).</w:t>
      </w:r>
    </w:p>
    <w:p>
      <w:r>
        <w:rPr>
          <w:b/>
        </w:rPr>
        <w:t>E. 1.2</w:t>
      </w:r>
    </w:p>
    <w:p>
      <w:r>
        <w:t>Le délai de recours contre une décision de clôture est de 30 jours dès la communication écrite de la décision (80k EIMP). En l’absence d’une notifi- cation formelle, la jurisprudence considère que le délai commence à courir dès la connaissance effective de la décision, pour autant que celle-ci n’ait pas déjà été exécutée (ATF 136 IV 16 consid. 2.3 et la jurisprudence citée). En l’espèce, et en raison de l’absence d’élection de domicile de la part des recourants, l’autorité d’exécution a notifié sa décision de clôture à l’établissement bancaire abritant les comptes des recourants, et ce confor- mément à la jurisprudence en la matière (ATF 136 IV 16 consid. 2.2). Dans la mesure où le recours a en tout état de cause été déposé dans les 30 jours à compter de la notification à l’établissement bancaire, la date exacte à laquelle les recourants ont été avertis de l’existence et du contenu de la décision n’est pas relevante aux fins de la présente procédure. Le recours est formé en temps utile.</w:t>
      </w:r>
    </w:p>
    <w:p>
      <w:r>
        <w:rPr>
          <w:b/>
        </w:rPr>
        <w:t>E. 1.3</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En application de ces principes, la qualité pour recourir est reconnue aux trois recourants, en tant que titulai- res respectifs des trois relations bancaires mentionnées plus haut et qui sont visées par la mesure querellée (v. supra let. D).</w:t>
      </w:r>
    </w:p>
    <w:p>
      <w:r>
        <w:t>- 5 -</w:t>
      </w:r>
    </w:p>
    <w:p>
      <w:r>
        <w:rPr>
          <w:b/>
        </w:rPr>
        <w:t>E. 2</w:t>
      </w:r>
    </w:p>
    <w:p>
      <w:r>
        <w:t>Par un grief d’ordre formel qu’il convient d’examiner en premier lieu, les re- courants reprochent à l’autorité d’exécution d’avoir violé leur droit d’être en- tendus, en ce sens que l’interdiction faite à la banque de communiquer les mesures d’exécution ordonnées les aurait empêchés de participer à la pro- cédure devant le MP-VD (act. 1, p. 7 ss; act. 14, p. 4 s.).</w:t>
      </w:r>
    </w:p>
    <w:p>
      <w:r>
        <w:rPr>
          <w:b/>
        </w:rPr>
        <w:t>E. 2.1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(ATF 124 II 124 consid. 2a p. 127; 107 Ib 170 consid. 3 p. 175/176, et les arrêts cités). En application de ce prin- cipe et en vertu de l’art. 80m EIMP, les décisions de l’autorité d’exécution sont notifiées à l’ayant droit domicilié en Suisse (let. a) et à l’ayant droit ré- 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 nal fédéral 1A.36/2006 du 29 mai 2006, consid. 3.3; ROBERT ZIMMERMANN, La coopération judiciaire internationale en matière pénale, 3e éd., Berne 2009, n° 321 note 638). Le droit dont disposent les parties d’assister à l’exécution de la demande d’entraide dans la mesure où ces actes les tou- chent directement, ne les exempte pas d’élire un domicile de notification en Suisse (arrêt du Tribunal fédéral 1A.107/2006 du 10 août 2006, consid. 2.5.1; ROBERT ZIMMERMANN, op. cit., no 484).</w:t>
      </w:r>
    </w:p>
    <w:p>
      <w:r>
        <w:rPr>
          <w:b/>
        </w:rPr>
        <w:t>E. 2.2</w:t>
      </w:r>
    </w:p>
    <w:p>
      <w:r>
        <w:t>L’ordonnance de clôture querellée ne mentionne aucunement la question de la levée de l’interdiction de communiquer faite aux banques, et dite le- vée n’a pas non plus fait l’objet de décision formelle de la part de l’autorité d’exécution avant la notification de cette ordonnance de clôture. Les recou- rants estiment que pareil procédé les aurait privés de leur droit de s’exprimer devant l’autorité d’exécution, et qu’au vu de la gravité de la vio-</w:t>
      </w:r>
    </w:p>
    <w:p>
      <w:r>
        <w:t>- 6 -</w:t>
      </w:r>
    </w:p>
    <w:p>
      <w:r>
        <w:t>lation ainsi subie, le vice ne saurait être guéri par devant la Cour de céans, la décision entreprise devant ainsi être annulée.</w:t>
      </w:r>
    </w:p>
    <w:p>
      <w:r>
        <w:t>Dans sa prise de position sur le recours, le MP-VD explique que l’interdiction de communiquer n’a effectivement jamais été formellement le- vée du fait d’un «oubli regrettable» (act. 7). Selon cette autorité toutefois, l’interdiction de communiquer ne concernait que la décision d’entrée en matière et – n’ayant pas été réitérée –, n’était donc pas applicable à la dé- cision de clôture (ibidem). Les banques destinataires des diverses ordon- nances l’avaient d’ailleurs bien compris, et l’on ne pouvait en définitive considérer que le droit d’être entendus des recourants avait été violé (ibi- dem).</w:t>
      </w:r>
    </w:p>
    <w:p>
      <w:r>
        <w:rPr>
          <w:b/>
        </w:rPr>
        <w:t>E. 2.3</w:t>
      </w:r>
    </w:p>
    <w:p>
      <w:r>
        <w:t>En l’espèce, l’autorité d’exécution a, en date du 22 décembre 2010, rendu une «décision d’entrée en matière», ainsi qu’un certain nombre d’ordonnances d’exécution. Toutes ont été adressées notamment aux deux établissements bancaires abritant les comptes des recourants, ces derniers étant domiciliés à l’étranger.</w:t>
      </w:r>
    </w:p>
    <w:p>
      <w:r>
        <w:t>Comme relevé plus haut, la décision d’entrée en matière prévoit expressé- ment que l’interdiction de communiquer imposée aux instituts bancaires «sera levée, par écrit, en temps utile» (v. supra let. C). Quant aux ordon- nances d’exécution, elles précisent pour leur part que l’interdiction d’informer en question est valable «durant trois mois à compter de l’expédition de l’entier de la documentation réclamée» (v. supra let. D).</w:t>
      </w:r>
    </w:p>
    <w:p>
      <w:r>
        <w:t>A cet égard, même si le MP-VD n’a jamais levé l’interdiction de communi- quer selon les formes annoncées dans la décision d’entrée en matière et indique qu’il s’agirait là d’un «oubli regrettable» (act. 7), il appert au vu des éléments soumis à la Cour de céans que ladite interdiction a cessé – d’elle- même – de déployer ses effets par l’écoulement du délai de trois mois qui a suivi l’expédition, par les banques, de l’entier de la documentation récla- mée. En effet, les ordonnances d’exécution notifiées par le MP-VD aux banques abritant les comptes des recourants l’ont été sur la base de la dé- cision d’entrée en matière; ce faisant, il y a lieu de considérer que la men- tion relative à la durée de l’interdiction de communiquer figurant dans lesdi- tes ordonnances (v. supra let. D) constitue une précision apportée au chif- fre 6 de la décision d’entrée en matière quant à la durée et à la levée de l’interdiction. L’expédition des documents requis étant intervenue le 4 jan- vier 2011 pour la banque F. (dossier MP-VD, pièce 13), et le 19 janvier 2011 pour la banque G./H. (dossier MP-VD, pièce 15), il y a lieu de retenir que l’interdiction d’informer a cessé de déployer ses effets trois mois plus</w:t>
      </w:r>
    </w:p>
    <w:p>
      <w:r>
        <w:t>- 7 -</w:t>
      </w:r>
    </w:p>
    <w:p>
      <w:r>
        <w:t>tard (v. supra let. D), soit à compter du 5 avril 2011 pour la banque F., et dès le 20 avril 2011 pour la banque G./H. Ces établissements étaient dès lors en mesure d’informer leurs clients à compter de ces dates, soit environ trois mois avant que l’autorité d’exécution ne rende la décision de clôture querellée. Dussent-ils avoir éprouvé un doute sur ce point, il leur incombait de le lever en s’adressant à l’autorité d’exécution. Les recourants ne peu- vent rien déduire en leur faveur du fait que tel ne semble pas avoir été le cas. Quoi qu’il en soit, même si une violation du droit d’être entendu avait dû être retenue, la procédure de recours devant la Cour des plaintes en au- rait permis la réparation (art. 49 de la loi fédérale du 20 décembre 1968 sur la procédure administrative [PA; RS 172.021]; arrêt du Tribunal pénal fédé- ral RR.2011.93 du 28 juin 2011, consid. 2.4; arrêt du Tribunal fédé- ral1A.228/2006 du 11 décembre 2006, consid. 3.3; ROBERT ZIMMERMANN, op. cit., n° 486 in fine et les arrêts cités).</w:t>
      </w:r>
    </w:p>
    <w:p>
      <w:r>
        <w:t>Le grief tiré de la violation du droit d’être entendu se révèle partant mal fondé.</w:t>
      </w:r>
    </w:p>
    <w:p>
      <w:r>
        <w:rPr>
          <w:b/>
        </w:rPr>
        <w:t>E. 3</w:t>
      </w:r>
    </w:p>
    <w:p>
      <w:r>
        <w:t>Sur le fond, les recourants estiment que la double incrimination, condition sine qua non de l’octroi de l’entraide, ne serait pas réalisée en l’espèce (act. 14, p. 5 ss).</w:t>
      </w:r>
    </w:p>
    <w:p>
      <w:r>
        <w:rPr>
          <w:b/>
        </w:rPr>
        <w:t>E. 3.1.1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 tes et immédiatement établies (ATF 126 II 495 consid. 5e/aa; 118 Ib 111</w:t>
      </w:r>
    </w:p>
    <w:p>
      <w:r>
        <w:t>- 8 -</w:t>
      </w:r>
    </w:p>
    <w:p>
      <w:r>
        <w:t>consid. 5b). L'exposé des faits ne doit pas être considéré comme un acte d'accusation, mais comme un état des soupçons que l'autorité requérante désire vérifier. Sauf contradictions ou impossibilités manifestes, ces soup- çons n'ont pas à être vérifiés dans le cadre de la procédure d'entraide judi- ciaire (arrêt du Tribunal fédéral 1A.297/2004 du 17 mars 2005, consid. 2.1).</w:t>
      </w:r>
    </w:p>
    <w:p>
      <w:r>
        <w:rPr>
          <w:b/>
        </w:rPr>
        <w:t>E. 3.1.2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3.2.1</w:t>
      </w:r>
    </w:p>
    <w:p>
      <w:r>
        <w:t>En l’espèce, la demande d’entraide a été présentée pour la répression des chefs d’escroquerie et d’escroquerie qualifiée au sens de l’art. 36 par. 1 et 2 du code pénal finlandais. L’autorité requérante expose que les prévenus visés par l’enquête finlandaise auraient, en 2008 et 2009, vendu à des so- ciétés et des collectivités des adresses internet dont le libellé était similaire à celui que ces dernières utilisaient déjà, à la différence que les terminai- sons offertes étaient internationales, soit «.com» ou «.org». Selon la de- mande d’entraide, les prévenus auraient donné – lors d’entretiens télépho- niques – la fausse impression que l’adresse mise en vente était susceptible d’être acquise par d’autres entités intéressées. Le prix indiqué par les ven- deurs se montait à EUR 195.--, lequel serait sensiblement plus élevé que le prix habituel pour une telle transaction, car selon un spécialiste finlandais, le «juste» prix serait de EUR 20.-- à l’année. Toujours selon l’autorité re- quérante, certaines sociétés seraient allées jusqu’à payer plus de EUR 4'000.--, pour acquérir l’un des noms de domaines ainsi proposés. Par ail- leurs, les victimes de ces agissements n’auraient eu aucun moyen de véri- fier les allégations des vendeurs selon lesquelles plusieurs autres person-</w:t>
      </w:r>
    </w:p>
    <w:p>
      <w:r>
        <w:t>- 9 -</w:t>
      </w:r>
    </w:p>
    <w:p>
      <w:r>
        <w:t>nes étaient intéressées par la même adresse. L’autorité d’exécution a tenu la condition de la double incrimination pour réalisée au regard des alinéas 1 et 2 de l’ art. 146 CP, réprimant l'escroquerie et l’escroquerie qualifiée (dos- sier MP-VD, onglet «décisions», décision d’entrée en matière, p. 2).</w:t>
      </w:r>
    </w:p>
    <w:p>
      <w:r>
        <w:rPr>
          <w:b/>
        </w:rPr>
        <w:t>E. 3.2.2</w:t>
      </w:r>
    </w:p>
    <w:p>
      <w:r>
        <w:t>a) L'escroquerie se définit, en droit suisse, comme le fait de celui qui, dans le dessein de se procurer ou de procurer à un tiers un enrichissement illégi- 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L'astuce au sens de cette disposition est réalisée non seulement lorsque l'auteur utilise un édifice de mensonges, des manœuvres fraudu- leuses ou une mise en scène, mais aussi lorsqu'il fait de fausses déclara- tions dont la vérification ne serait possible qu'au prix d'un effort particulier ou ne pourrait raisonnablement être exigée, ou encore lorsque l'auteur dis- suade la victime de les contrôler, voire prévoit, d'après les rapports de confiance particuliers qui le lient à la victime, que celle-ci ne les vérifiera pas (ATF 128 IV 18 consid. 3a; 126 IV 165 consid. 2a; 122 IV 146 consid. 3a et les arrêts cités). Il y a notamment manœuvre frauduleuse lorsque l'auteur fait usage de titres falsifiés ou obtenus sans droit ou de do- cuments mensongers (ATF 128 IV 18 consid. 3a). En tout état de cause, il convient toujours de se demander si la dupe, en faisant preuve d’un mini- mum d’attention, pouvait éviter facilement d’être trompée (ATF 122 IV 205 consid. 3d).</w:t>
      </w:r>
    </w:p>
    <w:p>
      <w:r>
        <w:t>b) En l’espèce, les faits exposés dans la demande d’entraide ne permettent pas de retenir que le procédé mis en place par les prévenus serait «astu- cieux» au sens qui vient d’être rappelé. En effet, il appert qu’un minimum de précautions de la part des sociétés et collectivités acheteuses aurait été de nature à leur éviter d’être trompées sur les prix demandés pour l’utilisation des noms de domaine en question. La simple consultation, par le biais d’un moteur de recherche internet, des nombreux sites consacrés au prix annuel moyen d’un nom de domaine aux terminaisons «.org» ou «.com», indique que ce prix se situe aux environs de CHF 30.-- (v. notam- ment act. 14.1 à 14.7), soit qu’il est très largement inférieur aux EUR 195.-- demandés par les prévenus (v. supra consid. 3.2.1). Or on est en droit d’attendre de sociétés ou de collectivités – présentes sur le réseau internet puisque disposant de et utilisant déjà une adresse internet (dossier MP-VD, pièce 6, p. 1) – qu’elles fassent preuve d’un minimum de prudence au mo- ment de s’engager envers un nouveau partenaire contractuel, et qu’elles se</w:t>
      </w:r>
    </w:p>
    <w:p>
      <w:r>
        <w:t>- 10 -</w:t>
      </w:r>
    </w:p>
    <w:p>
      <w:r>
        <w:t>renseignent un tant soit peu sur la justesse du prix figurant dans l’offre. Il découle de ce qui précède que la condition de l’astuce ne paraît pas réali- sée en l’espèce et que l’autorité d’exécution ne pouvait, partant, considérer la condition de la double incrimination comme satisfaite au regard de l'art. 146 CP.</w:t>
      </w:r>
    </w:p>
    <w:p>
      <w:r>
        <w:rPr>
          <w:b/>
        </w:rPr>
        <w:t>E. 3.3</w:t>
      </w:r>
    </w:p>
    <w:p>
      <w:r>
        <w:t>Le recours doit être admis pour ce motif et la décision attaquée annulée. L’entraide requise est partant refusée.</w:t>
      </w:r>
    </w:p>
    <w:p>
      <w:r>
        <w:rPr>
          <w:b/>
        </w:rPr>
        <w:t>E. 3.4</w:t>
      </w:r>
    </w:p>
    <w:p>
      <w:r>
        <w:t>Le dossier est retourné à l’autorité d’exécution, laquelle est invitée à remet- tre les pièces saisies aux ayants droit.</w:t>
      </w:r>
    </w:p>
    <w:p>
      <w:r>
        <w:rPr>
          <w:b/>
        </w:rPr>
        <w:t>E. 4.1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 rêts pécuniaires de collectivités ou d’établissements autonomes (art. 63 al. 2 PA). Des frais de procédure ne peuvent être mis à la charge de la partie qui a gain de cause que si elle les a occasionnés en violant des règles de procédure (art. 63 al. 3 PA).</w:t>
      </w:r>
    </w:p>
    <w:p>
      <w:r>
        <w:rPr>
          <w:b/>
        </w:rPr>
        <w:t>E. 4.2</w:t>
      </w:r>
    </w:p>
    <w:p>
      <w:r>
        <w:t>En application de ces principes, le présent arrêt doit être rendu sans frais. La caisse du Tribunal pénal fédéral restituera aux recourants l’avance de frais versée par CHF 5'000.--.</w:t>
      </w:r>
    </w:p>
    <w:p>
      <w:r>
        <w:rPr>
          <w:b/>
        </w:rPr>
        <w:t>E. 5.1</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5.2</w:t>
      </w:r>
    </w:p>
    <w:p>
      <w:r>
        <w:t>En l’espèce, le conseil des recourants n’a pas produit de liste des opéra- tions effectuées. Vu l’ampleur et la difficulté relatives de la cause, et dans</w:t>
      </w:r>
    </w:p>
    <w:p>
      <w:r>
        <w:t>- 11 -</w:t>
      </w:r>
    </w:p>
    <w:p>
      <w:r>
        <w:t>les limites admises par le Règlement du Tribunal pénal fédéral du 31 août 2010 sur les frais, émoluments, dépens, et indemnités de la procédure pé- nale fédérale (RFPPF; RS 173.713.162), l’indemnité est fixée ex aequo et bono à CHF 2'000.-- (TVA comprise), à la charge de l’autorité d’exécution.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