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RR.2011.182 vom 10. August 2011</w:t>
      </w:r>
    </w:p>
    <w:p>
      <w:r>
        <w:t>Bundesstrafgericht, 2011-08-10, DE</w:t>
      </w:r>
    </w:p>
    <w:p>
      <w:r>
        <w:rPr>
          <w:b/>
        </w:rPr>
        <w:t xml:space="preserve">Quelle: </w:t>
      </w:r>
      <w:r>
        <w:t>https://mcp.opencaselaw.ch/entscheid/bstger_RR.2011.182</w:t>
      </w:r>
    </w:p>
    <w:p>
      <w:r>
        <w:t>FR: TPF RR.2011.182 du 10 août 2011</w:t>
      </w:r>
    </w:p>
    <w:p>
      <w:r>
        <w:t>IT: TPF RR.2011.182 del 10 agosto 2011</w:t>
      </w:r>
    </w:p>
    <w:p>
      <w:pPr>
        <w:pStyle w:val="Heading2"/>
      </w:pPr>
      <w:r>
        <w:t>Regeste</w:t>
      </w:r>
    </w:p>
    <w:p>
      <w:r>
        <w:t>Auslieferung an Italien. Auslieferungshaftbefehl (Art. 48 Abs. 2 IRSG).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August 2001, E. 3a). Vor dem Hintergrund dieser strengen Rechtspre- chung bejahte die Beschwerdekammer des Bundesstrafgerichts die Flucht- gefahr bei einem Verfolgten, dessen Ehefrau, zwei Kinder im Alter von 7½ und 2½ Jahren sowie weitere Verwandte in der Schweiz lebten (Ent- scheid des Bundesstrafgerichts BH.2005.45 vom 20. Dezember 2005,</w:t>
      </w:r>
    </w:p>
    <w:p>
      <w:r>
        <w:t>- 7 -</w:t>
      </w:r>
    </w:p>
    <w:p>
      <w:r>
        <w:t>E. 2.2.2), bei einem Verfolgten, der sich seit 10 Jahren ununterbrochen in der Schweiz aufhielt und hier eine Familie mit vier Kindern im Alter von 1½, 3, 8 und 18 Jahren hatte (Entscheid des Bundesstrafgerichts BH.2005.8 vom 7. April 2005, E. 2.3) und bei einem Verfolgten, der seit seinem</w:t>
      </w:r>
    </w:p>
    <w:p>
      <w:r>
        <w:rPr>
          <w:b/>
        </w:rPr>
        <w:t>E. 17</w:t>
      </w:r>
    </w:p>
    <w:p>
      <w:r>
        <w:t>Lebensjahr seit 10 Jahren ununterbrochen in der Schweiz lebte und seine Freundin wie auch den Freundeskreis hier hatte (Entscheid des Bun- desstrafgerichts BH.2006.4 vom 21. März 2006, E. 2.2.1). Wenn überhaupt, wurde die Haftentlassung eher bei Verfolgten höheren Alters gewährt, d.h. von 65 Jahren (vgl. Urteil des Bundesgerichts 8G.66/2000 vom 5. Dezem- ber 2000, E. 9c) und 68 Jahren (Urteil des Bundesgerichts G.55/1993 vom</w:t>
      </w:r>
    </w:p>
    <w:p>
      <w:r>
        <w:rPr>
          <w:b/>
        </w:rPr>
        <w:t>E. 22</w:t>
      </w:r>
    </w:p>
    <w:p>
      <w:r>
        <w:t>Oktober 1993; vgl. auch Entscheid des Bundesstrafgerichts BH.2005.8 vom 7. April 2005, E. 2.3).</w:t>
      </w:r>
    </w:p>
    <w:p>
      <w:r>
        <w:t>Der Beschwerdeführer hat seinen Wohnsitz in Albanien. Sein einziger Be- zug zur Schweiz ist offenbar sein in Zürich wohnhafter Bruder. Von einer tiefen Verwurzelung mit der Schweiz im Sinne der zitierten Rechsspre- chung kann nicht die Rede sein. Zudem droht ihm im Falle einer Ausliefe- rung eine Freiheitsstrafe von 16 Jahren. Vor diesem Hintergrund ist die Ge- fahr, dass sich der Beschwerdeführer einer Auslieferung an Italien durch Flucht entzieht, ohne weiteres zu bejahen, und dieser hohen Fluchtgefahr kann auch nicht durch Ersatzmassnahmen begegnet werden.</w:t>
      </w:r>
    </w:p>
    <w:p>
      <w:r>
        <w:t>4.6 Andere Gründe, welche eine Entlassung aus der Auslieferungshaft recht- fertigen könnten, werden weder geltend gemacht noch sind solche ersicht- lich.</w:t>
      </w:r>
    </w:p>
    <w:p>
      <w:r>
        <w:t>Die Beschwerde ist nach dem Gesagten abzuweisen.</w:t>
      </w:r>
    </w:p>
    <w:p>
      <w:r>
        <w:t>5. Bei diesem Ausgang des Verfahrens wird der Beschwerdeführer kosten- pflichtig (Art. 63 Abs. 1 VwVG i.V.m. Art. 39 Abs. 2 lit. b StBOG). Für die Berechnung der Gerichtsgebühren gelangt gemäss Art. 63 Abs. 5 VwVG das Reglement des Bundesstrafgerichts vom 31. August 2010 über die Kosten, Gebühren und Entschädigungen in Bundesstrafverfahren (BStKR; SR 173.713.162) zur Anwendung. Die Gerichtsgebühr ist auf Fr. 1’500.-- festzusetzen.</w:t>
      </w:r>
    </w:p>
    <w:p>
      <w:r>
        <w:t>- 8 -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