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RR.2011.177 vom 30. November 2011</w:t>
      </w:r>
    </w:p>
    <w:p>
      <w:r>
        <w:t>Bundesstrafgericht, 2011-11-30, DE</w:t>
      </w:r>
    </w:p>
    <w:p>
      <w:r>
        <w:rPr>
          <w:b/>
        </w:rPr>
        <w:t xml:space="preserve">Quelle: </w:t>
      </w:r>
      <w:r>
        <w:t>https://mcp.opencaselaw.ch/entscheid/bstger_RR.2011.177</w:t>
      </w:r>
    </w:p>
    <w:p>
      <w:r>
        <w:t>FR: TPF RR.2011.177 du 30 novembre 2011</w:t>
      </w:r>
    </w:p>
    <w:p>
      <w:r>
        <w:t>IT: TPF RR.2011.177 del 30 novembre 2011</w:t>
      </w:r>
    </w:p>
    <w:p>
      <w:pPr>
        <w:pStyle w:val="Heading2"/>
      </w:pPr>
      <w:r>
        <w:t>Regeste</w:t>
      </w:r>
    </w:p>
    <w:p>
      <w:r>
        <w:t>Auslieferung an Deutschland. Auslieferungsentscheid (Art. 55 IRSG).</w:t>
      </w:r>
    </w:p>
    <w:p>
      <w:pPr>
        <w:pStyle w:val="Heading2"/>
      </w:pPr>
      <w:r>
        <w:t>Erwägungen</w:t>
      </w:r>
    </w:p>
    <w:p>
      <w:r>
        <w:rPr>
          <w:b/>
        </w:rPr>
        <w:t>E. 6</w:t>
      </w:r>
    </w:p>
    <w:p>
      <w:r>
        <w:t>März 2011 durch die Kantonspolizei Basel-Stadt in Basel verhaftet und vom BJ in provisorische Auslieferungshaft versetzt werden (act. 11.3). An- lässlich der Befragung durch die Staatsanwaltschaft Basel-Stadt vom</w:t>
      </w:r>
    </w:p>
    <w:p>
      <w:r>
        <w:rPr>
          <w:b/>
        </w:rPr>
        <w:t>E. 6.1</w:t>
      </w:r>
    </w:p>
    <w:p>
      <w:r>
        <w:t>Der Beschwerdeführer macht sodann geltend, für den im Auslieferungsent- scheid unter Ziff. 4.4.1.c (Ziff. 5 des Haftbefehls vom 28. März 2011) dar- gestellten Sachverhalt könne die Auslieferung nicht gewährt werden. Es fehle an der Arglist, da es den Geschädigten ohne weiteres möglich und zumutbar gewesen sei, seine Bonität zu überprüfen (act. 7).</w:t>
      </w:r>
    </w:p>
    <w:p>
      <w:r>
        <w:rPr>
          <w:b/>
        </w:rPr>
        <w:t>E. 6.2</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6.3</w:t>
      </w:r>
    </w:p>
    <w:p>
      <w:r>
        <w:t>In Bezug auf den hier massgeblichen Sachverhalt wird dem Beschwerde- führer von den deutschen Behörden Folgendes vorgeworfen: Am 9. Sep- tember 2010 habe er vor einem Notar in U. (Frankreich) einen notariellen Kaufvorvertrag nach französischem Recht über den Erwerb einer Immobilie an der V.-Strasse in W. zu einem Kaufpreis von EUR 1'187'700.-- abge- schlossen. Der Beschwerdeführer habe zu diesem Zeitpunkt ein angebli- ches Schreiben der Bank X. AG, welches er selber angefertigt habe, per E- Mail an den Notar geschickt, aus welchem sich ergeben habe, dass er die Überweisung des Kaufvertrages bereits veranlasst habe. Der Beschwerde- führer habe am 8. Oktober 2010 unter Verwendung der Kontoeröffnungs- bestätigung selbst eine Bestätigung unter dem Namen des Niederlassungs- leiters der Bank X. AG in Basel erstellt, wonach er über die notwendigen fi- nanziellen Mittel verfüge. Am 12. Oktober 2010 habe er die Kopie eines Zahlungsauftrags an den Niederlassungsleiter übersandt, um die Kauf- preiszahlung vorzuspiegeln, die tatsächlich nie stattgefunden habe (act. 11.17). Entgegen den Ausführungen des Beschwerdeführers lässt sich</w:t>
      </w:r>
    </w:p>
    <w:p>
      <w:r>
        <w:t>- 7 -</w:t>
      </w:r>
    </w:p>
    <w:p>
      <w:r>
        <w:t>dessen arglistiges Verhalten darin erblicken, dass er sich durch Vorlage ge- fälschter Urkunden besonderer Machenschaften bedient haben soll, um seine Zahlungsfähigkeit als glaubwürdig erscheinen zu lassen. Das dem Beschwerdeführer vorgeworfene Verhalten kann daher gemäss schweize- rischem Recht unter die Tatbestände des Betrugs (Art. 146 StGB) und der Urkundenfälschung (Art. 251 StGB) subsumiert werden. Die Voraussetzung der doppelten Strafbarkeit im Sinne von Art. 2 Ziff. 1 EAUe ist demnach er- füllt.</w:t>
      </w:r>
    </w:p>
    <w:p>
      <w:r>
        <w:t>7.</w:t>
      </w:r>
    </w:p>
    <w:p>
      <w:r>
        <w:rPr>
          <w:b/>
        </w:rPr>
        <w:t>E. 7</w:t>
      </w:r>
    </w:p>
    <w:p>
      <w:r>
        <w:t>März 2011 erklärte A., sich zur vereinfachten Auslieferung erst nach Rücksprache mit seinem Rechtsanwalt äussern zu wollen (act. 11.4).</w:t>
      </w:r>
    </w:p>
    <w:p>
      <w:r>
        <w:t>C. Das BJ erliess am 9. März 2011 einen Auslieferungshaftbefehl gegen A. Dieser erklärte, mit der vereinfachten Auslieferung nicht einverstanden zu sein (act. 11.7 und 11.9).</w:t>
      </w:r>
    </w:p>
    <w:p>
      <w:r>
        <w:t>D. Gegen den Auslieferungshaftbefehl gelangte A. am 18. März 2011 an die II. Beschwerdekammer des Bundesstrafgerichts und verlangte mit ansonsten gänzlich unbegründeter Beschwerde die Durchführung des „ordentlichen Verfahrens“ (Verfahren RR.2011.80 act. 1). Mit Entscheid vom 7. April 2011 wies die II. Beschwerdekammer des Bundesstrafgerichts die Be- schwerde sowie das Gesuch um unentgeltliche Rechtspflege ab (Verfahren RR.2011.80 und RP.2011.10 act. 4).</w:t>
      </w:r>
    </w:p>
    <w:p>
      <w:r>
        <w:t>E. Das Justizministerium Baden-Württemberg ersuchte am 7. April 2011 die Schweiz formell um Auslieferung A. und reichte einen ergänzenden Haftbe- fehl des Amtsgerichts Lörrach vom 28. März 2011 ein (act. 11.17). A. er- klärte sich am 15. und 19. April 2011 sowohl mündlich wie auch schriftlich mit einer vereinfachten Auslieferung nicht einverstanden (act. 11.18 und act.11.19).</w:t>
      </w:r>
    </w:p>
    <w:p>
      <w:r>
        <w:t>F. Wenige Tage zuvor war A. mit Eingabe vom 14. April 2011 erneut an die II. Beschwerdekammer des Bundesstrafgerichts gelangt und verlangte sinn- gemäss um Revision des Entscheides vom 7. April 2011 (Verfahren</w:t>
      </w:r>
    </w:p>
    <w:p>
      <w:r>
        <w:t>- 3 -</w:t>
      </w:r>
    </w:p>
    <w:p>
      <w:r>
        <w:t>RR.2011.105 act. 1-3). Mit Entscheid vom 31. Mai 2011 trat die II. Be- schwerdekammer auf das Revisionsgesuch nicht ein und leitete die Einga- be A. vom 14. April 2011 an das Bundesgericht weiter zur Prüfung der Fra- ge, ob eine Beschwerde vorliege (Verfahren RR.2011.105 act. 10).</w:t>
      </w:r>
    </w:p>
    <w:p>
      <w:r>
        <w:t>G. Das Bundesgericht trat mit Entscheid vom 6. Juni 2011 auf die Beschwerde A. nicht ein (Verfahren 1C_258/2011; act. 11.20).</w:t>
      </w:r>
    </w:p>
    <w:p>
      <w:r>
        <w:t>H. Mit Entscheid vom 8. Juli 2011, der A. am 12. Juli 2011 zugestellt wurde, verfügte das BJ dessen Auslieferung an Deutschland in Bezug auf die dem Urteil des Amtsgerichts Lörrach vom 12. Juli 2010 in Ziffer 1 und 3 und dem Haftbefehl des Amtsgerichts Lörrach vom 28. März 2011 in Ziffer 5 zugrun- de liegenden Straftaten. Im Übrigen lehnte das BJ die Auslieferung ab (act. 11.21).</w:t>
      </w:r>
    </w:p>
    <w:p>
      <w:r>
        <w:t>I. Gegen den Auslieferungsentscheid gelangt A. mit Eingabe vom 14. Juli 2011 an die II. Beschwerdekammer des Bundesstrafgerichts und beantragt die Aufhebung des Auslieferungsentscheides und die Gewährung der un- entgeltlichen Rechtspflege (act. 1, act. 5, act. 7 und act. 8; Verfahren RP.2011.40 act. 1). Das BJ beantragt in seiner Beschwerdeantwort vom</w:t>
      </w:r>
    </w:p>
    <w:p>
      <w:r>
        <w:rPr>
          <w:b/>
        </w:rPr>
        <w:t>E. 7.1</w:t>
      </w:r>
    </w:p>
    <w:p>
      <w:r>
        <w:t>Im Weiteren bezweifelt der Beschwerdeführer die Zuständigkeit Deutsch- lands zur Strafverfolgung, indem er geltend macht, dass die vorgeworfene Urkundenfälschung gar nicht in Deutschland stattgefunden habe (act. 8).</w:t>
      </w:r>
    </w:p>
    <w:p>
      <w:r>
        <w:rPr>
          <w:b/>
        </w:rPr>
        <w:t>E. 7.2</w:t>
      </w:r>
    </w:p>
    <w:p>
      <w:r>
        <w:t>Die Gewährung der Auslieferung setzt grundsätzlich voraus, dass der ersu- chende Staat für die Durchführung eines Strafverfahrens zuständig ist, d.h. die dem Rechtshilfeersuchen zugrunde liegende Tat der Strafgewalt des ersuchenden Staates unterliegt. Die Entscheidung über die Grenzen der eigenen Strafgewalt steht jedoch grundsätzlich jedem Staat selbst zu. Die Rechtshilfe darf daher nur in Fällen verweigert werden, in denen der ersu- chende Staat offensichtlich unzuständig ist, d.h. die Justizbehörden des er- suchenden Staates ihre Zuständigkeit in willkürlicher Weise bejaht haben. Die Bejahung der Zuständigkeit darf allerdings gewisse, vom Völkerrecht gezogene Grenzen nicht verletzen. Inhalt und Tragweite dieser völkerrecht- lichen Grenzen sind zwar umstritten, doch gibt es eine Reihe von Anknüp- fungspunkten, die international üblich und völkerrechtlich in der Regel un- bedenklich sind. Hierzu gehört u.a. das Territorialitätsprinzip (Begehungsort auf dem eigenen Staatsgebiet), das aktive Persönlichkeitsprinzip (Staats- angehörigkeit des Täters), das Domizilprinzip (inländischer Wohnsitz des Täters), das Schutzprinzip (Angriff gegen Rechtsgüter/Interessen des Staa- tes) und das Prinzip der stellvertretenden Strafrechtspflege (vgl. Urteil des Bundesgerichts 1C.205/2007 vom 18. Dezember 2007, E. 5.2; BGE 126 II 212 E. 6b/c S. 213 ff.; vgl. auch Art. 7 Ziff. 2 EAUe).</w:t>
      </w:r>
    </w:p>
    <w:p>
      <w:r>
        <w:t>Das deutsche Recht hat das aktive Persönlichkeitsprinzip in § 7 Abs. 2 dStGB gesetzlich verankert. Der Beschwerdeführer ist deutscher Staatsan- gehöriger. Die deutschen Behörden haben offenbar ihre Zuständigkeit nach innerstaatlichem Recht bejaht, weshalb sie gegen den Beschwerdeführer ein Untersuchungsverfahren eingeleitet haben. Es besteht damit kein An- lass, an der Strafverfolgungszuständigkeit Deutschlands zu zweifeln, wes- halb die diesbezügliche Rüge des Beschwerdeführers ins Leere geht.</w:t>
      </w:r>
    </w:p>
    <w:p>
      <w:r>
        <w:t>- 8 -</w:t>
      </w:r>
    </w:p>
    <w:p>
      <w:r>
        <w:t>8. Andere Auslieferungshindernisse werden weder geltend gemacht, noch sind solche ersichtlich. Die Auslieferung des Beschwerdeführers an Deutschland ist daher zulässig und die Beschwerde abzuweisen.</w:t>
      </w:r>
    </w:p>
    <w:p>
      <w:r>
        <w:t>9.</w:t>
      </w:r>
    </w:p>
    <w:p>
      <w:r>
        <w:t>9.1 Der Beschwerdeführer stellt schliesslich den Antrag, ihm sei die unentgelt- liche Rechtspflege und sein Rechtsvertreter als unentgeltlicher Rechtsbei- stand zu gewähren (RP.2011.40 act. 1). Das Gesuch wird mit der schwieri- gen Rechts- und Sachlage und der tatsächlichen Mittellosigkeit begründet.</w:t>
      </w:r>
    </w:p>
    <w:p>
      <w:r>
        <w:t>9.2 Die II. Beschwerdekammer bestellt einer Partei, die nicht über die erforder- lichen Mittel verfügt, auf Antrag einen Anwalt, wenn es zur Wahrung ihrer Rechte notwendig erscheint, sofern ihr Begehren nicht aussichtslos er- scheint (Art. 65 Abs. 1 und 2 VwVG i.V.m. Art. 39 Abs. 2 lit. b StBOG).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BGE 128 I 225 E. 2.5.3; BGE 124 I 304 E. 2c).</w:t>
      </w:r>
    </w:p>
    <w:p>
      <w:r>
        <w:t>9.3 Den vorstehenden Erwägungen ist zu entnehmen, dass die Beschwerde in allen Punkten offensichtlich aussichtslos war und demgemäss keinen Aus- sicht auf Erfolg hatte. Das Gesuch ist daher abzuweisen.</w:t>
      </w:r>
    </w:p>
    <w:p>
      <w:r>
        <w:t>10. Bei diesem Ausgang des Verfahrens wird der Beschwerdeführer kosten- pflichtig (Art. 63 Abs. 1 VwVG i.V.m. Art. 39 Abs. 2 lit. b StBOG). Für die Berechnung der Gerichtsgebühren gelangt gemäss Art. 63 Abs. 5 VwVG das Reglement des Bundesstrafgerichts über die Kosten, Gebühren und Entschädigungen in Bundesstrafverfahren vom 31. August 2010 (SR 173.713.162) zur Anwendung. Der womöglich schwierigen wirtschaftlichen Situation, in welcher sich der Beschwerdeführer schon aufgrund seiner In- haftierung befindet, kann mittels einer reduzierten Gerichtsgebühr Rech- nung getragen werden. Die Gerichtsgebühr ist daher auf Fr. 1'000.-- fest- zusetzen.</w:t>
      </w:r>
    </w:p>
    <w:p>
      <w:r>
        <w:t>- 9 -</w:t>
      </w:r>
    </w:p>
    <w:p>
      <w:r>
        <w:t>Demnach erkennt die II. Beschwerdekammer:</w:t>
      </w:r>
    </w:p>
    <w:p>
      <w:r>
        <w:rPr>
          <w:b/>
        </w:rPr>
        <w:t>E. 12</w:t>
      </w:r>
    </w:p>
    <w:p>
      <w:r>
        <w:t>September 2011 die Abweisung der Beschwerde (act. 11). Der Be- schwerdeführer repliziert mit Eingabe vom 6. Oktober 2011, die dem BJ zur Kenntnis zugestellt wird (act. 17 und act. 18).</w:t>
      </w:r>
    </w:p>
    <w:p>
      <w:r>
        <w:t>Auf die Ausführungen der Parteien und die eingereichten Akten wird, so- weit erforderlich, in den rechtlichen Erwägungen eingegangen.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w:t>
      </w:r>
    </w:p>
    <w:p>
      <w:r>
        <w:t>- 4 -</w:t>
      </w:r>
    </w:p>
    <w:p>
      <w:r>
        <w:t>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t>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 S. 464 und 122 I 140 E. 2 S. 142). Vorbehalten bleibt die Wahrung der Menschenrechte (BGE 135 IV 212 E. 2.3; 123 II 595 E. 7c).</w:t>
      </w:r>
    </w:p>
    <w:p>
      <w:r>
        <w:t>3.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Bundesstraf- gericht vom 31. August 2010, Organisationsreglement BStGer [BStGerOR, SR 173.713.161]). Der vorliegende Auslieferungsentscheid wurde dem Be- schwerdeführer am 12. Juli 2011 eröffnet (act. 11.22). Die Beschwerde vom 14. Juli 2011 ist demnach fristgerecht eingereicht worden, weshalb darauf einzutreten ist.</w:t>
      </w:r>
    </w:p>
    <w:p>
      <w:r>
        <w:t>4. Die II. Beschwerdekammer ist nicht an die Begehren der Parteien gebun- den (Art 25 Abs. 6 IRSG). Sie prüft die Auslieferungshaftvoraussetzungen grundsätzlich mit freier Kognition. Die II. Beschwerdekammer befasst sich jedoch nur mit Tat- und Rechtsfragen, die Streitgegenstand der Beschwer- de bilden (Entscheide des Bundesstrafgerichts RR.2007.89 vom 20. August 2007, E. 2.4, m.w.H.; RR.2007.34 vom 29. März 2007, E. 3).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w:t>
      </w:r>
    </w:p>
    <w:p>
      <w:r>
        <w:t>- 5 -</w:t>
      </w:r>
    </w:p>
    <w:p>
      <w:r>
        <w:t>nügt, wenn die Behörde wenigstens kurz die Überlegungen nennt, von de- nen sie sich leiten liess und auf welche sich ihr Entscheid stützt (BGE 124 II 146 E. 2a S. 149; 123 I 31 E. 2.c S. 34; 122 IV 8 E. 2c S. 14 f.; Urteil des Bundesgerichts 1A.59/2004 vom 16. Juli 2004, E. 5.2 m.w.H.).</w:t>
      </w:r>
    </w:p>
    <w:p>
      <w:r>
        <w:t>5.</w:t>
      </w:r>
    </w:p>
    <w:p>
      <w:r>
        <w:t>5.1 Der Beschwerdeführer bringt zunächst vor, dass er für die in der Schluss- verfügung unter Ziff. 4.2.2. umschriebenen Delikte mit Urteil des Amtsge- richts Lörrach vom 12. Juli 2010 rechtskräftig verurteilt worden sei. Das Amtsgericht Lörrach habe eine Bewährungsstrafe ausgesprochen, die bis heute nicht widerrufen worden sei. Daher könne eine Auslieferung für diese Delikte nicht in Frage kommen (act. 5 und 7).</w:t>
      </w:r>
    </w:p>
    <w:p>
      <w:r>
        <w:t>5.2 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Hoheitsgebiet des ersuchenden Staates eine Verurteilung zu einer Strafe erfolgt oder eine sichernde Mass- nahme angeordnet worden, so muss deren Mass mindestens vier Monate betragen (Art. 2 Ziff. 1 EAUe i.V.m. Art. II Abs. 1 Zusatzvertrag). 5.3 Die genannten Auslieferungsvoraussetzungen des EAUe sind im vorlie- genden Fall grundsätzlich erfüllt. Das Ersuchen stützt sich unter anderem auf die Vollstreckung einer rechtskräftigen Verurteilung zu einer Freiheits- strafe von zwei Jahren. Der Beschwerdeführer soll die Bewährungsauflage, bis am 31. Dezember 2010 200 Stunden gemeinnützige Arbeit zu leisten, nicht erfüllt haben und im Verdacht stehen, sich wegen versuchten Betru- ges erneut strafbar gemacht zu haben. Der Beschwerdeführer räumt denn auch selber ein, lediglich 90 der erforderlichen 200 Stunden an gemeinnüt- ziger Arbeit geleistet zu haben. Er habe jedoch wegen eines Unfalles die Reststunden der Bewährungsauflage nicht erfüllen können (act. 17). Ein- wendungen gegen den Widerruf der aufgeschobenen Freiheitsstrafe an sich hat der Beschwerdeführer im deutschen Strafverfahren einzubringen. Es ist nicht Sache der ersuchten Behörde darüber zu befinden. Die Rüge des Beschwerdeführers ist damit nicht zu hören.</w:t>
      </w:r>
    </w:p>
    <w:p>
      <w:r>
        <w:t>- 6 -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