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RR.2011.160 vom 15. September 2011</w:t>
      </w:r>
    </w:p>
    <w:p>
      <w:r>
        <w:t>Bundesstrafgericht, 2011-09-15, DE</w:t>
      </w:r>
    </w:p>
    <w:p>
      <w:r>
        <w:rPr>
          <w:b/>
        </w:rPr>
        <w:t xml:space="preserve">Quelle: </w:t>
      </w:r>
      <w:r>
        <w:t>https://mcp.opencaselaw.ch/entscheid/bstger_RR.2011.160</w:t>
      </w:r>
    </w:p>
    <w:p>
      <w:r>
        <w:t>FR: TPF RR.2011.160 du 15 septembre 2011</w:t>
      </w:r>
    </w:p>
    <w:p>
      <w:r>
        <w:t>IT: TPF RR.2011.160 del 15 settembre 2011</w:t>
      </w:r>
    </w:p>
    <w:p>
      <w:pPr>
        <w:pStyle w:val="Heading2"/>
      </w:pPr>
      <w:r>
        <w:t>Regeste</w:t>
      </w:r>
    </w:p>
    <w:p>
      <w:r>
        <w:t>Internationale Rechtshilfe in Strafsachen an Italien. Herausgabe von Beweismitteln (Art. 74 IRSG). Gesuch um Fristwiederherstellung (Art. 24 Abs. 1 VwVG).</w:t>
      </w:r>
    </w:p>
    <w:p>
      <w:pPr>
        <w:pStyle w:val="Heading2"/>
      </w:pPr>
      <w:r>
        <w:t>Erwägungen</w:t>
      </w:r>
    </w:p>
    <w:p>
      <w:r>
        <w:rPr>
          <w:b/>
        </w:rPr>
        <w:t>E. 25</w:t>
      </w:r>
    </w:p>
    <w:p>
      <w:r>
        <w:t>Juni 2010 sowie mit Zwischenverfügung vom 21. Juli 2010 dem italieni- schen Rechtshilfeersuchen entsprach und sowohl die Anwesenheit der italie- nischen Magistraten/Funktionäre an der rechtshilfeweisen Befragung von D., C. sowie A. als auch deren Anwesenheit für die Akteneinsicht bewilligte;</w:t>
      </w:r>
    </w:p>
    <w:p>
      <w:r>
        <w:t>- C. vollumfänglich und A. teilweise dagegen Beschwerde erhoben; die II. Be- schwerdekammer des Bundesstrafgerichts mit Entscheiden vom 1. Dezem- ber 2010 (RR.2010.133, RR.2010.168 sowie RR.2010.161) auf die Be- schwerden nicht eintrat;</w:t>
      </w:r>
    </w:p>
    <w:p>
      <w:r>
        <w:t>- 3 -</w:t>
      </w:r>
    </w:p>
    <w:p>
      <w:r>
        <w:t>- die Bundesanwaltschaft mit Schlussverfügung vom 27. Mai 2011 die Heraus- gabe von Unterlagen betreffend die Verfahrenseröffnung, von Unterlagen be- züglich der Zuständigkeit sowie bezüglich der Verhaftung von A., C. und D., von Durchsuchungs- und Beschlagnahmeverfügungen, von Unterlagen betreffend die polizeilichen Ermittlungen, von wissenschaftlichen Gutachten, von Protokollen betreffend die Einvernahme von Auskunftspersonen, des Strafregisterauszuges von A., von Unterlagen bezüglich Rechtshilfe sowie ei- nes Schreibens bezüglich Besuche bei F. in der Strafanstalt B. verfügte (act. 1.2);</w:t>
      </w:r>
    </w:p>
    <w:p>
      <w:r>
        <w:t>- A., D., C. sowie E. mit Beschwerde vom 28. Juni 2011 an die II. Beschwerde- kammer des Bundesstrafgerichts gelangten und beantragen, der Entscheid der Bundesanwaltschaft sei aufzuheben und das italienische Rechtshilfeer- suchen vom 11. Mai 2010 sei vollumfänglich abzuweisen; sie alle zudem um Gewährung der unentgeltlichen Rechtspflege sowie Verbeiständung durch Rechtsanwalt Bosonnet ersuchen (act. 1);</w:t>
      </w:r>
    </w:p>
    <w:p>
      <w:r>
        <w:t>- ihnen mit Schreiben vom 6. Juli 2011 (RP.2011.25 - 28 act. 2) bis am 18. Juli 2011 Frist zur Einreichung der betreffenden Formulare und der not- wendigen Unterlagen gesetzt wurde; der Beschwerdeführer A. mit Schreiben vom 5. August 2011 sein Gesuch um unentgeltliche Rechtspflege zurückzog (RP.2011.25 act. 7);</w:t>
      </w:r>
    </w:p>
    <w:p>
      <w:r>
        <w:t>- ihm daraufhin mit Schreiben vom 11. August 2011 eine Frist bis zum 22. Au- gust 2011 zur Leistung eines Kostenvorschusses von CHF 2'000.-- gesetzt wurde, ansonsten auf seine Beschwerde nicht eingetreten werde (act. 10);</w:t>
      </w:r>
    </w:p>
    <w:p>
      <w:r>
        <w:t>- der Kostenvorschuss mit Valutadatum vom 25. August 2011 auf dem Post- konto des Bundesstrafgerichts einging (act. 12); der Beschwerdeführer A. mit Schreiben vom</w:t>
      </w:r>
    </w:p>
    <w:p>
      <w:r>
        <w:rPr>
          <w:b/>
        </w:rPr>
        <w:t>E. 29</w:t>
      </w:r>
    </w:p>
    <w:p>
      <w:r>
        <w:t>August 2011 aufgefordert wurde, bis zum 5. September 2011 den Beweis zu erbringen, dass der Kostenvorschuss frist- gerecht geleistet wurde (act. 13); diese Frist antragsgemäss bis zum 15. Sep- tember 2011 verlängert wurde (act. 15);</w:t>
      </w:r>
    </w:p>
    <w:p>
      <w:r>
        <w:t>- der Beschwerdeführer A. mit Schreiben vom 13. September 2011 um Wie- derherstellung der Frist zur Bezahlung des Kostenvorschusses ersucht mit der Begründung, seine Mutter habe den Kostenvorschuss verspätet einbe- zahlt, dieses Verhalten jedoch weder ihm noch seinem Rechtsvertreter ange- lastet werden könne, weil die Mutter auf die Dringlichkeit des Geschäfts hin- gewiesen worden sei (act. 19);</w:t>
      </w:r>
    </w:p>
    <w:p>
      <w:r>
        <w:t>- 4 -</w:t>
      </w:r>
    </w:p>
    <w:p>
      <w:r>
        <w:t>- eine Frist wiederhergestellt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 i.V.m. Art. 39 Abs. 2 lit. b StBOG); die Wiederherstellung dem- nach an formelle sowie materielle Voraussetzungen geknüpft ist; in materiel- ler Hinsicht ein fehlendes Verschulden für die nicht rechtzeitige Ausführung der fristgebundenen Handlung verlangt wird; als unverschuldet zunächst ein Versäumnis gilt, wenn dafür objektive Gründe vorliegen und der säumigen Partei bzw. ihrer Vertretung keine Nachlässigkeit vorgeworfen werden kann, wobei nur solche Gründe massgeblich sind, welche einer Person die Wah- rung ihrer Interessen auch bei Einsatz der gehörigen Sorgfalt gänzlich ver- unmöglichen oder in unzumutbarer Weise erschweren; daneben auch subjek- tive Gründe eine Wiederherstellung rechtfertigen können (VOGEL in AUER/MÜLLER/SCHINDLER [Hrsg.], Kommentar zum Bundesgesetz über das Verwaltungsverfahren, Zürich/St. Gallen 2008, Art. 24 N. 6, 7, 10-12, 18; MAITRE/THALMANN/(BOCHSLER) in WALDMANN/WEISSENBERGER [Hrsg.], Pra- xiskommentar zum Bundesgesetz über das Verwaltungsverfahren, Zü- rich/Basel/Genf 2009, Art. 24 N. 7 - 10, 13 - 17); Arbeitsüberlastung kein un- verschuldetes Versäumnis darstellt (vgl. MAITRE/ THALMANN [BOCHSLER], a.a.O., Art. 24 N. 32, mit Hinweisen auf die Rechtsprechung);</w:t>
      </w:r>
    </w:p>
    <w:p>
      <w:r>
        <w:t>- das Verhalten einer Hilfsperson dem Beschwerdeführer wie ein eigenes zu- zurechnen ist, wenn sich dieser zur Erfüllung der Kostenvorschusspflicht ei- nes Erfüllungsgehilfen bedient hat (MAITRE/ THALMANN [BOCHSLER], a.a.O., Art. 24 N. 11 f., mit Hinweisen auf die Rechtsprechung);</w:t>
      </w:r>
    </w:p>
    <w:p>
      <w:r>
        <w:t>- vorliegendes Gesuch um Fristwiederherstellung die formellen Voraussetzun- gen erfüllt; die 30tägige Frist gewahrt und auch die versäumte Rechtshand- lung durch Bezahlung des Kostenvorschusses fristgerecht nachgeholt wor- den ist; auf das Gesuch demnach einzutreten ist;</w:t>
      </w:r>
    </w:p>
    <w:p>
      <w:r>
        <w:t>- die Mutter als Hilfsperson des Gesuchstellers/Beschwerdeführers A. als Grund für die verspätete Leistung des Kostenvorschusses angibt, an einem Tag spät am Abend zu Hause angekommen zu sein und an zwei andern Ta- gen habe arbeiten müssen (act. 19.4); dieses Verhalten dem Gesuchstel- ler/Beschwerdeführer A. anzurechnen ist (vgl. supra);</w:t>
      </w:r>
    </w:p>
    <w:p>
      <w:r>
        <w:t>- die aufgeführten Gründe für die verspätete Zahlung des Kostenvorschusses kein unverschuldeter Hinderungsgrund im Sinne der vorgenannten Praxis und Rechtsprechung darstellen, welche eine Wiederherstellung der Frist rechtfertigen könnten; es im Übrigen dem Rechtsvertreter des Gesuchstel-</w:t>
      </w:r>
    </w:p>
    <w:p>
      <w:r>
        <w:t>- 5 -</w:t>
      </w:r>
    </w:p>
    <w:p>
      <w:r>
        <w:t>lers/Beschwerdeführers A. möglich gewesen wäre, vor Ablauf der richterli- chen Frist um Fristerstreckung (Art. 22 Abs. 2 VwVG i.V.m. Art. 39 Abs. 2 lit. b StBOG) nachzusuchen, ein solches Fristerstreckungsgesuch jedoch unter- blieben ist;</w:t>
      </w:r>
    </w:p>
    <w:p>
      <w:r>
        <w:t>- das Gesuch um Wiederherstellung der Frist zur Bezahlung des Kostenvor- schusses damit abzuweisen ist;</w:t>
      </w:r>
    </w:p>
    <w:p>
      <w:r>
        <w:t>- infolge Abweisung des Gesuches auf die Beschwerde androhungsgemäss nicht einzutreten ist (act. 10);</w:t>
      </w:r>
    </w:p>
    <w:p>
      <w:r>
        <w:t>- der Gesuchsteller/Beschwerdeführer A. bei diesem Ausgang des Verfahrens als unterliegende Partei zu gelten und die Verfahrenskosten zu tragen hat (Art. 63 Abs. 1 VwVG i.V.m. Art. 39 Abs. 2 lit. b StBOG); die Gerichtsgebühr auf Fr. 400.-- anzusetzen ist (Art. 5 und 8 Abs. 3 lit. a des Reglements des Bundesstrafgerichts vom 31. August 2010 über die Kosten, Gebühren und Entschädigungen in Bundesstrafverfahren [BStKR; SR 173.713.162]) unter Anrechnung des (verspätet) geleisteten Kostenvorschusses von Fr. 2'000.--; die Bundesstrafgerichtskasse anzuweisen ist, dem Gesuchstel- ler/Beschwerdeführer A. den Restbetrag von Fr. 1'600.-- zurückzuerstatten.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