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RR.2011.157 vom 18. Januar 2012</w:t>
      </w:r>
    </w:p>
    <w:p>
      <w:r>
        <w:t>Bundesstrafgericht, 2012-01-18, DE</w:t>
      </w:r>
    </w:p>
    <w:p>
      <w:r>
        <w:rPr>
          <w:b/>
        </w:rPr>
        <w:t xml:space="preserve">Quelle: </w:t>
      </w:r>
      <w:r>
        <w:t>https://mcp.opencaselaw.ch/entscheid/bstger_RR.2011.157</w:t>
      </w:r>
    </w:p>
    <w:p>
      <w:r>
        <w:t>FR: TPF RR.2011.157 du 18 janvier 2012</w:t>
      </w:r>
    </w:p>
    <w:p>
      <w:r>
        <w:t>IT: TPF RR.2011.157 del 18 gennaio 2012</w:t>
      </w:r>
    </w:p>
    <w:p>
      <w:pPr>
        <w:pStyle w:val="Heading2"/>
      </w:pPr>
      <w:r>
        <w:t>Regeste</w:t>
      </w:r>
    </w:p>
    <w:p>
      <w:r>
        <w:t>Internationale Rechtshilfe in Strafsachen an Deutschland. Herausgabe von Beweismitteln (Art. 74 IRSG). Kosten und Entschädigung bei Rückzug des Rechtshilfeersuchens (Art. 72 BZP).</w:t>
      </w:r>
    </w:p>
    <w:p>
      <w:pPr>
        <w:pStyle w:val="Heading2"/>
      </w:pPr>
      <w:r>
        <w:t>Erwägungen</w:t>
      </w:r>
    </w:p>
    <w:p>
      <w:r>
        <w:rPr>
          <w:b/>
        </w:rPr>
        <w:t>E. 1</w:t>
      </w:r>
    </w:p>
    <w:p>
      <w:r>
        <w:t>Die Beschwerdeverfahren RR.2011.157-158 sind zufolge Rückzugs des Rechtshilfeersuchens als gegenstandslos vom Geschäftsverzeichnis abzu- schreiben (Urteile des Bundesgerichts 1C_122/2008 vom 30. Mai 2008, E. 1; 1A.240/2006 vom 11. September 2007; Entscheide des Bundesstraf- gerichts RR.2009.123 vom 18. Dezember 2009, E. 1; RR.2008.186 vom 29. Dezember 2008, E. 1).</w:t>
      </w:r>
    </w:p>
    <w:p>
      <w:r>
        <w:rPr>
          <w:b/>
        </w:rPr>
        <w:t>E. 2</w:t>
      </w:r>
    </w:p>
    <w:p>
      <w:r>
        <w:t>Nach konstanter Praxis gelangt im Beschwerdeverfahren vor dem Bundes- strafgericht für den Entscheid über die Kosten- und Entschädigungsfolgen bei Gegenstandslosigkeit Art. 72 des Bundesgesetzes vom 4. Dezem- ber 1947 über den Bundeszivilprozess (BZP; SR 273) sinngemäss zur An- wendung (Entscheide des Bundesstrafgerichts RR.2007.91 vom 4. Sep- tember 2007; RR.2008.133 vom 3. September 2008; RR.2008.173 vom 20. April 2009). Gemäss Art. 72 BZP entscheidet das Gericht mit summari- scher Begründung über die Prozesskosten aufgrund der Sachlage vor Ein- tritt des Erledigungsgrundes.</w:t>
      </w:r>
    </w:p>
    <w:p>
      <w:r>
        <w:t>Bei der Beurteilung der Kosten- und Entschädigungsfolge ist somit in erster Linie auf den mutmasslichen Ausgang des Prozesses abzustellen. Die Re- gelung bezweckt, denjenigen, welcher in guten Treuen Beschwerde erho- ben hat, nicht im Kostenpunkt dafür zu bestrafen, dass die Beschwerde in- folge nachträglicher Änderung der Umstände abzuschreiben ist, ohne dass ihm dies anzulasten wäre. Bei der summarischen Prüfung des mutmassli- chen Prozessausgangs ist nicht auf alle Rügen einzeln und detailliert ein- zugehen (BGE 118 Ia 488 E. 4a S. 494 f.).</w:t>
      </w:r>
    </w:p>
    <w:p>
      <w:r>
        <w:rPr>
          <w:b/>
        </w:rPr>
        <w:t>E. 3.1</w:t>
      </w:r>
    </w:p>
    <w:p>
      <w:r>
        <w:t>Für die Rechtshilfe zwischen Deutschland und der Schweiz sind in erster Linie das Europäische Übereinkommen über die Rechtshilfe in Strafsachen vom 20. April 1959 (EUeR; SR 0.351.1), dem beide Staaten beigetreten sind sowie der zwischen ihnen abgeschlossene Zusatzvertrag vom 13. November 1969 (ZV-D/EUeR; SR 0.351.913.61) massgebend. Über- dies gelangen die Bestimmungen der Art. 48 ff. des Übereinkommens vom 19. Juni 1990 zur Durchführung des Übereinkommens von Schengen vom 14. Juni 1985 (Schengener Durchführungsübereinkommen, SDÜ; ABl. L 239 vom 22. September 2000, S. 19 - 62) zur Anwendung, wobei die zwi- schen den Vertragsparteien geltenden weitergehenden Bestimmungen auf- grund bilateraler Abkommen unberührt bleiben (Art. 48 Abs. 2 SDÜ).</w:t>
      </w:r>
    </w:p>
    <w:p>
      <w:r>
        <w:t>- 6 -</w:t>
      </w:r>
    </w:p>
    <w:p>
      <w:r>
        <w:rPr>
          <w:b/>
        </w:rPr>
        <w:t>E. 3.2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136 IV 82, E. 3.1; 129 II 462 E. 1.1 S. 464, m.w.H.). Vorbehalten bleibt die Wahrung der Menschenrech- te (BGE 135 IV 212 E. 2.3; 123 II 595 E. 7c).</w:t>
      </w:r>
    </w:p>
    <w:p>
      <w:r>
        <w:rPr>
          <w:b/>
        </w:rPr>
        <w:t>E. 4.1</w:t>
      </w:r>
    </w:p>
    <w:p>
      <w:r>
        <w:t>Beim angefochtenen Entscheid handelte es sich um eine Teilschlussverfü- gung der ausführenden Bundesbehörde, gegen welche innert 30 Tagen ab der schriftlichen Mitteilung bei der Beschwerdekammer des Bundes- strafgerichts Beschwerde geführt werden konnte (Art. 80e Abs. 1 i. V. m. Art. 80k IRSG; Art. 37 Abs. 2 lit. a Ziff. 1 des Bundesgesetzes vom 19. März 2010 über die Organisation der Strafbehörden des Bundes, Straf- behördenorganisationsgesetz, StBOG; SR 173.71; Art. 19 Abs. 2 des Or- ganisationsreglements vom 31. August 2010 für das Bundesstrafgericht, Organisationsreglement BStGer, BStGerOG; SR 173.713.161). Die Be- schwerde gegen die Schlussverfügung vom 24. Mai 2011 wurde mit Datum vom 24. Juni 2011 fristgerecht erhoben.</w:t>
      </w:r>
    </w:p>
    <w:p>
      <w:r>
        <w:rPr>
          <w:b/>
        </w:rPr>
        <w:t>E. 4.2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3 und 80h IRSG der Kontoinhaber (Art. 9a lit. a IRSV; BGE 118 Ib 547 E. 1d; 122 II 130 E. 2b; TPF 2007 79 E. 1.6). Dem- gegenüber sind nach der Rechtsprechung der wirtschaftlich Berechtigte des betroffenen Bankkontos oder gar Drittpersonen nicht zur Beschwerde legitimiert (Urteile des Bundesgerichts 1A.72/2006 vom 13. Juli 2006, E. 1.3; 1A.32/2003 vom 19. März, E. 2; BGE 130 II 162 E. 1.1; 129 II 268 E. 2.3.3; Entscheid des Bundesstrafgerichts RR.2007.106 vom 19. Novem- ber 2007, E. 2.2, je m.w.H).</w:t>
      </w:r>
    </w:p>
    <w:p>
      <w:r>
        <w:rPr>
          <w:b/>
        </w:rPr>
        <w:t>E. 4.3</w:t>
      </w:r>
    </w:p>
    <w:p>
      <w:r>
        <w:t>Die angefochtene Verfügung bezog sich auf die Erteilung von Bankaus- künften, wobei Unterlagen eines Kontos der Beschwerdeführerin 2 an die ersuchende Behörde herausgegeben werden sollten. Die Beschwerdefüh- rerin 2 als Kontoinhaberin war damit im obgenannten Sinne beschwerdele-</w:t>
      </w:r>
    </w:p>
    <w:p>
      <w:r>
        <w:t>- 7 -</w:t>
      </w:r>
    </w:p>
    <w:p>
      <w:r>
        <w:t>gitimiert, weshalb auf ihre Beschwerde einzutreten gewesen wäre. Hinge- gen wäre der Beschwerdeführer 1 entgegen seiner Auffassung weder als wirtschaftlich Berechtigter noch als zeichnungsberechtigtes Organ der Be- schwerdeführerin 2 legitimiert gewesen. Auch der Umstand, dass er im ausländischen Strafverfahren Beschuldigter sein soll, hätte ihm keine Be- schwerdelegitimation verschafft (vgl. 21 Abs. 3 IRSG i.V.m. Art. 9a lit. a IRSV). Ihm mangelte es somit an einer persönlichen und direkten Betrof- fenheit im Sinne der zitierten Rechtsprechung, weshalb auf seine Be- schwerde nicht eingetreten worden wäre.</w:t>
      </w:r>
    </w:p>
    <w:p>
      <w:r>
        <w:rPr>
          <w:b/>
        </w:rPr>
        <w:t>E. 5.1</w:t>
      </w:r>
    </w:p>
    <w:p>
      <w:r>
        <w:t>Die Beschwerdeführerin rügte eine Verletzung des rechtlichen Gehörs. Sie machte geltend, sie sei weder seitens der Bundesanwaltschaft noch sei- tens der Bank C. AG nach Erlass der Schlussverfügung vom 5. Oktober 2010 in das ergänzende Rechtshilfeverfahren im Zusammenhang mit der Editionsverfügung vom 18. März 2011 einbezogen worden. Die Bank C. AG habe ihr erst die Teilschlussverfügung vom 24. Mai 2011 zur Kenntnis ge- bracht. Dadurch sei es ihr verwehrt gewesen, vor Erlass der Schlussverfü- gung ihre Parteirechte, insbesondere ihr Recht auf Akteneinsicht, wahr zu nehmen. Die Bundesanwaltschaft müsste im Einzelfall überprüfen und si- cherstellen, dass die ausländischen Berechtigten über ihre Rechte infor- miert worden seien.</w:t>
      </w:r>
    </w:p>
    <w:p>
      <w:r>
        <w:rPr>
          <w:b/>
        </w:rPr>
        <w:t>E. 5.2</w:t>
      </w:r>
    </w:p>
    <w:p>
      <w:r>
        <w:t>Im Bereich der internationalen Rechtshilfe wird der in Art. 29 Abs. 2 BV verankerte Anspruch auf rechtliches Gehör in Bezug auf das Aktenein- sichtsrecht in Art. 80b IRSG und ergänzend in Art. 26 ff. VwVG konkreti- siert, welche sowohl in Verfahren vor den Bundesbehörden als auch vor kantonalen Behörden zur Anwendung gelangen (ROBERT ZIMMERMANN, La coopération judiciaire internationale en matière pénale, 3. Aufl., Bern 2009, S. 437 N. 472). Bezieht sich das Rechtshilfeersuchen auf die Herausgabe von Bankunterlagen oder anderen Beweismitteln, muss die ausführende Behörde dem gemäss Art. 80h lit. b IRSG und Art. 9a IRSV Berechtigten vorgängig an den Erlass der Schlussverfügung insbesondere die Gelegen- heit geben, sich zum Rechtshilfeersuchen zu äussern und unter Angabe der Gründe geltend zu machen, welche Unterlagen etwa in Anwendung des Verhältnismässigkeitsprinzips nicht herauszugeben sind (vgl. Art. 30 Abs. 1 VwVG; BGE 130 II 14 E. 4.3 S. 16; 126 II 258 E. 9b/aa S. 262). Das geschieht in aller Regel durch die Zustellung einer Eintretens- oder Zwi- schenverfügung, die den Berechtigten Gelegenheit gibt, von sich aus ihre Einwände gegen die Gewährung oder den Umfang der Rechtshilfe vorzu- bringen (unveröffentlichtes Urteil des Bundesgerichts i.S.P. vom 29. August</w:t>
      </w:r>
    </w:p>
    <w:p>
      <w:r>
        <w:t>- 8 -</w:t>
      </w:r>
    </w:p>
    <w:p>
      <w:r>
        <w:t>1997, E. 4b). Eine Verpflichtung zur Zustellung von Verfügungen an die Be- rechtigten besteht allerdings nur, wenn diese einen Wohnsitz oder zumin- dest ein Zustellungsdomizil im Inland haben (Art. 80m Abs. 1 IRSG). Art. 9 IRSV präzisiert, dass eine Partei oder ihr Rechtsbeistand, die im Aus- land wohnen, ein Zustellungsdomizil in der Schweiz bezeichnen müssen; unterlassen sie dies, kann die Zustellung unterbleiben. In diesem Fall wird die Verfügung – zumindest in Verfahren, in denen es um die Übermittlung von Bankunterlagen geht – der Bank zur Kenntnis gebracht. Diese ist nach Art. 80n Abs. 1 IRSG berechtigt und aufgrund des Vertrags mit ihrem Kun- den verpflichtet, diesen über das Vorliegend des Rechtshilfeersuchens und allen damit zusammenhängenden Tatsachen zu informieren, sofern die zu- ständige Behörde dies nicht ausnahmsweise unter Hinweis auf Art. 292 StGB und dessen Strafandrohung ausdrücklich untersagt hat (vgl. BGE 136 IV 18 E. 2.2; 124 II 124 E. 2d S. 127). Wenn die Bank den Kontoinhaber nicht rechtzeitig über die Eintretens- und Zwischenverfügung informiert hat oder dies allenfalls mangels gültiger Adresse nicht tun konn- te, ist dies vom Kontoinhaber zu vertreten. Eine Verletzung des rechtlichen Gehörs liegt in einem solchen Fall nicht vor (vgl. hierzu auch Urteil des Bundesgerichts 1A.54/2000 vom 3. Mai 2000, E. 2a).</w:t>
      </w:r>
    </w:p>
    <w:p>
      <w:r>
        <w:rPr>
          <w:b/>
        </w:rPr>
        <w:t>E. 5.3</w:t>
      </w:r>
    </w:p>
    <w:p>
      <w:r>
        <w:t>Die Beschwerdeführerin rügte nicht, dass sie aufgrund mangelnder Infor- mation durch die Bank C. AG eine Beschwerdefrist verpasst hätte. Sodann brachte sie selber vor, dass der Bank C. AG kein Mitteilungsverbot aufer- legt worden war und sie bis Juni 2011 kein Zustelldomizil in der Schweiz bezeichnet hatte. Sowohl die Verfügungen der Staatsanwaltschaft Basel- Stadt als auch die Eintretensverfügung der Bundesanwaltschaft vom 1. Ok- tober 2010 und deren Teilschlussverfügung vom 24. Mai 2011 wurden da- her der Bank C. AG eröffnet und von dieser in Empfang genommen (Ver- fahrensakten Bundesanwaltschaft, Rubrik 3, 4, 17). Auf Schreiben des schweizerischen Rechtsvertreters der Beschwerdeführerin vom 20. Ju- ni 2011, gewährte die Beschwerdegegnerin am 22. Juni 2011 zudem um- fassende Akteneinsicht (Verfahrensakten Bundesanwaltschaft, Rubrik 14).</w:t>
      </w:r>
    </w:p>
    <w:p>
      <w:r>
        <w:t>Aufgrund ihrer zivilrechtlichen Informationspflicht hätte die Bank C. AG die Beschwerdeführerin – ungeachtet dessen, ob eine sog. Banklagernd- Vereinbarung besteht oder nicht – über die ihr zugestellten Verfügungen im Zusammenhang mit dem Rechtshilfeverfahren benachrichtigen müssen. Geschieht dies nicht, wäre entgegen der Auffassung der Beschwerdeführe- rin die mangelhafte Information nicht dem Beschwerdegegner, sondern ihr anzulasten (vgl. supra E. 3.2). Es ist nicht Aufgabe der Beschwerdegegne- rin, bei den betroffenen Banken nachzuforschen, ob sie ihren zivilrechtli- chen Verpflichtungen betreffend Information und Aktenzustellung gegen-</w:t>
      </w:r>
    </w:p>
    <w:p>
      <w:r>
        <w:t>- 9 -</w:t>
      </w:r>
    </w:p>
    <w:p>
      <w:r>
        <w:t>über ihrer Klienten nachkommen oder nicht (vgl. Urteil des Bundesgerichts 1A.212/2003 vom 30. August 2004, E. 7.1). Das wäre weder zumutbar noch opportun, da sich die Beschwerdegegnerin nicht in das vertragliche Verhältnis zwischen einer Bank und deren Kunden einzuschalten hat. Die Beschwerdegegnerin hatte alles Erforderliche unternommen, damit die Be- schwerdeführerin Kenntnis, von dem gegen sie gerichtete Rechtshilfever- fahren erhielt. Eine Verletzung des rechtlichen Gehörs durch die ausfüh- rende Behörde wäre im vorliegenden Verfahren nicht auszumachen gewe- sen, die diesbezügliche Rüge hätte sich als unbegründet erwiesen.</w:t>
      </w:r>
    </w:p>
    <w:p>
      <w:r>
        <w:t>Weitere Einwendungen gegen die Gewährung von Rechtshilfe wurden nicht vorgebracht, die Herausgabe der edierten Bankunterlagen wäre zu- lässig gewesen.</w:t>
      </w:r>
    </w:p>
    <w:p>
      <w:r>
        <w:rPr>
          <w:b/>
        </w:rPr>
        <w:t>E. 6</w:t>
      </w:r>
    </w:p>
    <w:p>
      <w:r>
        <w:t>Nach dem Gesagten rechtfertigt es sich, den Beschwerdeführern in analo- ger Anwendung von Art. 72 BZP die Kosten des gegenstandslos geworde- nen Beschwerdeverfahrens aufzuerlegen (vgl. Art. 63 VwVG i.V.m. Art. 39 Abs. 2 lit. b StBOG und Art. 22 Abs. 3 des Reglements des Bundesstrafge- richts vom 31. August 2010 über die Kosten, Gebühren und Entschädigun- gen in Bundesstrafverfahren [BStKR; SR 173.713.163]). Aus denselben Gründen entfällt eine Parteientschädigung. Unter Berücksichtigung des Aufwands ist die Gerichtsgebühr vorliegend auf Fr. 2'000.-- festzusetzen (Art. 8 Abs. 3 lit. a BStKR), unter Verrechnung des entsprechenden Betra- ges aus dem geleisteten Kostenvorschuss von Fr. 8’000.--. Die Bundes- strafgerichtskasse ist anzuweisen, den Beschwerdeführern den Restbetrag von Fr. 6'000.-- zurückzuerstatten.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