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RR.2011.153 vom 15. Februar 2012</w:t>
      </w:r>
    </w:p>
    <w:p>
      <w:r>
        <w:t>Bundesstrafgericht, 2012-02-15, DE</w:t>
      </w:r>
    </w:p>
    <w:p>
      <w:r>
        <w:rPr>
          <w:b/>
        </w:rPr>
        <w:t xml:space="preserve">Quelle: </w:t>
      </w:r>
      <w:r>
        <w:t>https://mcp.opencaselaw.ch/entscheid/bstger_RR.2011.153</w:t>
      </w:r>
    </w:p>
    <w:p>
      <w:r>
        <w:t>FR: TPF RR.2011.153 du 15 février 2012</w:t>
      </w:r>
    </w:p>
    <w:p>
      <w:r>
        <w:t>IT: TPF RR.2011.153 del 15 febbraio 2012</w:t>
      </w:r>
    </w:p>
    <w:p>
      <w:pPr>
        <w:pStyle w:val="Heading2"/>
      </w:pPr>
      <w:r>
        <w:t>Regeste</w:t>
      </w:r>
    </w:p>
    <w:p>
      <w:r>
        <w:t>Internationale Rechtshilfe an Strafsachen an Portugal. Herausgabe von Beweismitteln (Art. 74 IRSG).</w:t>
      </w:r>
    </w:p>
    <w:p>
      <w:pPr>
        <w:pStyle w:val="Heading2"/>
      </w:pPr>
      <w:r>
        <w:t>Erwägungen</w:t>
      </w:r>
    </w:p>
    <w:p>
      <w:r>
        <w:rPr>
          <w:b/>
        </w:rPr>
        <w:t>E. 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 behörden des Bundes [Strafbehördenorganisationsgesetz, StBOG; SR 173.71]). Vorliegend ist die angefochtene Verfügung in deutscher Spra- che ergangen (act. 1.2). Zudem haben das BJ und die Beschwerdegegne- rin ihre Eingaben auf Deutsch verfasst und das ergänzende Rechtshilfeer- suchen liegt in der deutschen Übersetzung vor. Unter diesen Umständen ist der vorliegende Entscheid in Anwendung von Art. 33a Abs. 2 Satz 1 VwVG i.V.m. Art. 39 Abs. 2 lit. b StBOG in deutscher Sprache auszuferti- gen.</w:t>
      </w:r>
    </w:p>
    <w:p>
      <w:r>
        <w:rPr>
          <w:b/>
        </w:rPr>
        <w:t>E. 2.1</w:t>
      </w:r>
    </w:p>
    <w:p>
      <w:r>
        <w:t>Für die Rechtshilfe zwischen Portugal und der Schweiz sind in erster Linie das Europäische Übereinkommen vom 20. April 1959 über die Rechtshilfe in Strafsachen (EUeR; SR 0.351.1), das zu diesem Übereinkommen am 8. November 2001 ergangene zweite Zusatzprotokoll (2. ZP; SR 0.351.12) und sowie die Bestimmungen der Art. 48 ff. des Übereinkommens vom 19. Juni 1990 zur Durchführung des Übereinkommens von Schengen vom</w:t>
      </w:r>
    </w:p>
    <w:p>
      <w:r>
        <w:t>- 5 -</w:t>
      </w:r>
    </w:p>
    <w:p>
      <w:r>
        <w:t>14. Juni 1985 (Schengener Durchführungsübereinkommen, SDÜ; ABl. L 239 vom 22. September 2000, S. 19 – 62) zwecks Ergänzung und Er- leichterung der Anwendung des EUeR massgebend. Die zwischen den Vertragsparteien geltenden weitergehenden Bestimmungen aufgrund bila- teraler Abkommen unberührt bleiben (Art. 48 Abs. 2 SDÜ). Zusätzlich kann das von beiden Ländern ratifizierte Übereinkommen vom 8. Novem- ber 1990 über Geldwäscherei sowie Ermittlung, Beschlagnahme und Ein- ziehung von Erträgen aus Straftaten (GwUe; SR 0.311.53) zur Anwendung gelangen. Unberührt bleiben auch in diesem Zusammenhang allfällige wei- tergehende Bestimmungen aufgrund bilateraler oder multilateraler Abkom- men (vgl. Art. 39 Ziff. 2 und 3 GwUe).</w:t>
      </w:r>
    </w:p>
    <w:p>
      <w:r>
        <w:rPr>
          <w:b/>
        </w:rPr>
        <w:t>E. 2.2</w:t>
      </w:r>
    </w:p>
    <w:p>
      <w:r>
        <w:t>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136 IV 82 E. 3.1; 129 II 462 E. 1.1 S. 464; 123 II 134 E. 1a; 122 II 140 E. 2 S. 142). Vorbehalten bleibt die Wahrung der Menschenrechte (BGE 135 IV 212 E. 2.3; 123 II 595 E. 7c).</w:t>
      </w:r>
    </w:p>
    <w:p>
      <w:r>
        <w:rPr>
          <w:b/>
        </w:rPr>
        <w:t>E. 3.1</w:t>
      </w:r>
    </w:p>
    <w:p>
      <w:r>
        <w:t>Bei dem angefochtenen Entscheid handelt es sich um eine Schlussverfü- gung der ausführenden kantonalen Behörde, gegen welche innert 30 Ta- gen ab der schriftlichen Mitteilung bei der Beschwerdekammer des Bun- desstrafgerichts Beschwerde geführt werden kann (Art. 80e Abs. 1 i.V.m. Art. 80k IRSG; Art. 37 Abs. 2 lit. a Ziff. 1 StBOG; Art. 19 Abs. 1 des Organi- sationsreglements vom 31. August 2010 für das Bundesstrafgericht [BStGerOR; SR 173.713.161]).</w:t>
      </w:r>
    </w:p>
    <w:p>
      <w:r>
        <w:t>Die angefochtene Schlussverfügung vom 16. Mai 2011 wurde am 24. Mai 2011 der Bank M. zugestellt (Verfahrensakten Staatsanwaltschaft, Urk. 19/2), welche in der Folge Mitteilung an die im Ausland domizilierten Beschwerdeführer machten (Art. 80n Abs. 1 i.V.m. Art. 80m Abs. 1 e contrario IRSG). Die vorliegende Beschwerde vom 23. Juni 2011 wurde demnach innerhalb der 30-tägigen Beschwerdefrist erhoben.</w:t>
      </w:r>
    </w:p>
    <w:p>
      <w:r>
        <w:rPr>
          <w:b/>
        </w:rPr>
        <w:t>E. 3.2.1</w:t>
      </w:r>
    </w:p>
    <w:p>
      <w:r>
        <w:t>Zur Beschwerdeführung ist berechtigt, wer persönlich und direkt von einer Rechtshilfemassnahme betroffen ist und ein schutzwürdiges Interesse an</w:t>
      </w:r>
    </w:p>
    <w:p>
      <w:r>
        <w:t>- 6 -</w:t>
      </w:r>
    </w:p>
    <w:p>
      <w:r>
        <w:t>deren Aufhebung oder Änderung hat (Art. 80h lit. b IRSG). Personen, ge- gen die sich das ausländische Strafverfahren richtet, sind unter denselben Bedingungen und nicht per se beschwerdelegitimiert (Art. 21 Abs. 3 IRSG; BGE 116 Ib 106 E. 2a; TPF 2007 79 E. 1.6.3). Bei der Erhebung von Kontoinformationen gilt als persönlich und direkt be- troffen im Sinne der Art. 21 Abs. 3 und Art. 80h IRSG der Kontoinhaber (Art. 9a lit. a IRSV; BGE 137 IV 134 E. 5.2.1; 118 Ib 547 E. 1d; 122 II 130 E. 2b; TPF 2007 79 E. 1.6).</w:t>
      </w:r>
    </w:p>
    <w:p>
      <w:r>
        <w:t>Bloss wirtschaftlich an einem Konto oder an einer direkt betroffenen Ge- sellschaft Berechtigte sind nur in Ausnahmefällen selbstständig beschwer- delegitimiert. Dies kann etwa der Fall sein, wenn eine juristische Person, über deren Konto Auskunft verlangt wird, aufgelöst wurde und deshalb nicht mehr handlungsfähig ist (BGE 123 II 153 E. 2c-d S. 157 f.). Die Be- weislast für die wirtschaftliche Berechtigung und die Liquidation der Gesell- schaft obliegt dem Rechtsuchenden. Ausserdem darf die Firmenauflösung nicht nur vorgeschoben oder rechtsmissbräuchlich erscheinen (BGE 123 II 153 E. 2d S.157 f.). Darüber hinaus muss der wirtschaftlich Berechtigte im Auflösungsakt eindeutig als Begünstigter des Liquidationsgewinns be- zeichnet sein (Urteile des Bundesgerichts 1A.284/2003 vom 11. Febru- ar 2004, E. 1; 1A.212/2001 vom 21. März 2002 E. 1.3.2; 1A.84/1999 vom 31. Mai 1999, E. 2c; Entscheid des Bundesstrafgerichts RR.2009.151 vom 11. September 2009, E. 1.3.2). Für bloss indirekt Betroffene, insbesondere Personen, die zwar in den erhobenen Kontenunterlagen erwähnt werden, aber nicht direkt von Zwangsmassnahmen betroffen bzw. Inhaber der frag- lichen Konten sind, ist die Beschwerdebefugnis grundsätzlich zu verneinen (BGE 129 II 268 E. 2.3.3 S. 269; 123 II 153 E. 2b S. 157, 161 E. 1d S. 164, je mit Hinweisen; 122 II 130 E. 2b S. 132 f.).</w:t>
      </w:r>
    </w:p>
    <w:p>
      <w:r>
        <w:rPr>
          <w:b/>
        </w:rPr>
        <w:t>E. 3.2.2</w:t>
      </w:r>
    </w:p>
    <w:p>
      <w:r>
        <w:t>Die angefochtene Schlussverfügung ordnet die rechtshilfeweise Herausga- be von Bankunterlagen betreffend vier verschiedene Konten bei der Bank M. an, wobei das Konto Nr. 3 auf die Beschwerdeführerin 2 lautet.</w:t>
      </w:r>
    </w:p>
    <w:p>
      <w:r>
        <w:t>Die Beschwerdeführerin 2 soll gemäss eigenen Angaben am 25. Septem- ber 2009 im entsprechenden Handelsregister gelöscht worden sein (act. 1 S. 10; auch act. 1.7). Damit kann sie, wie die Beschwerdegegnerin zutref- fend ausführt (act. 6 S. 2 ff.), mangels Rechts- und folglich Parteifähigkeit nicht mehr in eigenem Namen Beschwerde erheben. Ein Nachweis dafür, dass die Beschwerdeführerin 2 im Laufe des Beschwerdeverfahrens im entsprechenden Handelsregister – wie von ihr angekündigt – wieder einge- tragen worden wäre, wurde nicht nachgereicht. Bei dieser Sachlage braucht nicht weiter geprüft zu werden, wie sich ein solcher Vorgang pro-</w:t>
      </w:r>
    </w:p>
    <w:p>
      <w:r>
        <w:t>- 7 -</w:t>
      </w:r>
    </w:p>
    <w:p>
      <w:r>
        <w:t>zessual auswirken würde. Nach dem Gesagten steht fest, dass auf die Be- schwerde der Beschwerdeführerin 2 nicht einzutreten ist.</w:t>
      </w:r>
    </w:p>
    <w:p>
      <w:r>
        <w:t>Was die Beschwerde der Beschwerdeführerin 1 anbelangt, wird deren Le- gitimation damit begründet, dass sie die einzige Aktionärin der Beschwer- deführerin 2 sein soll (act. 1 S. 10). Dass hier ein von der Rechtsprechung vorgesehener Ausnahmefall vorliegen würde (s. supra Ziff. 3.2.1), weshalb sie als bloss wirtschaftlich Berechtigte gleichwohl beschwerdelegitimiert sein soll, hat sie aber nicht nachgewiesen. So weist die Beschwerdegegne- rin zu Recht u.a. darauf hin, dass augrund der eingereichten Dokumente nicht klar ist, ob die Beschwerdeführerin 1 im Zeitpunkt der Auflösung im- mer noch die einzige Aktionärin und sie durch die Auflösung der Be- schwerdeführerin 2 auch die Begünstigte war. Bereits bei diesem Beweis- ergebnis ist daher festzuhalten, dass der Beschwerdeführerin 1 bezüglich des vorgenannten Kontos die Beschwerdelegitimation fehlt, weshalb auf ih- re Beschwerde nicht einzutreten ist.</w:t>
      </w:r>
    </w:p>
    <w:p>
      <w:r>
        <w:t>Ist auf die Beschwerde der beiden Beschwerdeführerinnen nicht einzutre- ten, fehlt die Grundlage zur Prüfung ihrer im Beschwerdeverfahren gestell- ten prozessualen Antrag auf Vereinigung des vorliegenden Verfahrens mit den Beschwerdeverfahren RR.2011.149, RR.2011.150 und RR.2011.151+152.</w:t>
      </w:r>
    </w:p>
    <w:p>
      <w:r>
        <w:rPr>
          <w:b/>
        </w:rPr>
        <w:t>E. 4</w:t>
      </w:r>
    </w:p>
    <w:p>
      <w:r>
        <w:t>Bei diesem Ausgang des Verfahrens werden die Beschwerdeführerinnen kostenpflichtig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Unter Berücksichtigung aller Umstände ist die Gerichtsgebühr für beide Beschwerdeführerinnen zu- sammen auf Fr. 2'000.-- unter solidarischer Haftung festzusetzen, unter An- rechnung des in der Höhe von Fr. 4'000.-- geleisteten Kostenvorschusses (Art. 8 Abs. 3 lit. a des Reglements). Die Bundesstrafgerichtskasse ist an- zuweisen, den Beschwerdeführerinnen den Restbetrag von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