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RR.2011.149 vom 15. Februar 2012</w:t>
      </w:r>
    </w:p>
    <w:p>
      <w:r>
        <w:t>Bundesstrafgericht, 2012-02-15, DE</w:t>
      </w:r>
    </w:p>
    <w:p>
      <w:r>
        <w:rPr>
          <w:b/>
        </w:rPr>
        <w:t xml:space="preserve">Quelle: </w:t>
      </w:r>
      <w:r>
        <w:t>https://mcp.opencaselaw.ch/entscheid/bstger_RR.2011.149</w:t>
      </w:r>
    </w:p>
    <w:p>
      <w:r>
        <w:t>FR: TPF RR.2011.149 du 15 février 2012</w:t>
      </w:r>
    </w:p>
    <w:p>
      <w:r>
        <w:t>IT: TPF RR.2011.149 del 15 febbraio 2012</w:t>
      </w:r>
    </w:p>
    <w:p>
      <w:pPr>
        <w:pStyle w:val="Heading2"/>
      </w:pPr>
      <w:r>
        <w:t>Regeste</w:t>
      </w:r>
    </w:p>
    <w:p>
      <w:r>
        <w:t>Internationale Rechtshilfe in Strafsachen an Portugal. Herausgabe von Beweismitteln (Art. 74 IRSG).</w:t>
      </w:r>
    </w:p>
    <w:p>
      <w:pPr>
        <w:pStyle w:val="Heading2"/>
      </w:pPr>
      <w:r>
        <w:t>Erwägungen</w:t>
      </w:r>
    </w:p>
    <w:p>
      <w:r>
        <w:rPr>
          <w:b/>
        </w:rPr>
        <w:t>E. 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 behörden des Bundes [Strafbehördenorganisationsgesetz, StBOG; SR 173.71]). Vorliegend ist die angefochtene Verfügung in deutscher Spra- che ergangen (act. 1.2). Zudem haben das BJ und die Beschwerdegegne- rin ihre Eingaben auf Deutsch verfasst und das ergänzende Rechtshilfeer- suchen liegt in der deutschen Übersetzung vor. Unter diesen Umständen ist der vorliegende Entscheid in Anwendung von Art. 33a Abs. 2 Satz 1 VwVG i.V.m. Art. 39 Abs. 2 lit. b StBOG in deutscher Sprache auszuferti- gen.</w:t>
      </w:r>
    </w:p>
    <w:p>
      <w:r>
        <w:rPr>
          <w:b/>
        </w:rPr>
        <w:t>E. 2</w:t>
      </w:r>
    </w:p>
    <w:p>
      <w:r>
        <w:t>Die Beschwerde vom 23. Juni 2011 der Beschwerdeführerinnen 1 und 2 enthalten identische Begehren und Begründungen. Aus prozessökonomi- schen Gründen sind die Verfahren RR.2011.149 und RR.2011.150, daher antragsgemäss zu vereinigen (vgl. BGE 126 V 283 E. 1 S. 285; Urteile des Bundesgerichtes 6S.709 + 6S.710/2000 vom 26. Mai 2003, E. 1; 1A.60 – 62 vom 22. Juni 2000, E. 1a; ALFRED KÖLZ/ISABELLE HÄNER, Verwaltungs-</w:t>
      </w:r>
    </w:p>
    <w:p>
      <w:r>
        <w:t>- 5 -</w:t>
      </w:r>
    </w:p>
    <w:p>
      <w:r>
        <w:t>verfahren und Verwaltungsrechtspflege des Bundes, 2. Auflage, Zürich 1998, Nr. 155 S. 54 f.). Demgegenüber kommt die beantragte Vereinigung der vorliegenden Verfahren RR.2011.149 und RR.2011.150 mit den Be- schwerdeverfahren RR.2011.151+152 und RR.2011.153+154 nicht in Fra- ge, da sich in jenen Verfahren vorab andere rechtliche Fragen stellen.</w:t>
      </w:r>
    </w:p>
    <w:p>
      <w:r>
        <w:rPr>
          <w:b/>
        </w:rPr>
        <w:t>E. 3.1</w:t>
      </w:r>
    </w:p>
    <w:p>
      <w:r>
        <w:t>Für die Rechtshilfe zwischen Portugal und der Schweiz sind in erster Linie das Europäische Übereinkommen vom 20. April 1959 über die Rechtshilfe in Strafsachen (EUeR; SR 0.351.1), das zu diesem Übereinkommen am</w:t>
      </w:r>
    </w:p>
    <w:p>
      <w:r>
        <w:rPr>
          <w:b/>
        </w:rPr>
        <w:t>E. 3.2</w:t>
      </w:r>
    </w:p>
    <w:p>
      <w:r>
        <w:t>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136 IV 82 E. 3.1; 129 II 462 E. 1.1 S. 464; 123 II 134 E. 1a; 122 II 140 E. 2 S. 142). Vorbehalten bleibt die Wahrung der Menschenrechte (BGE 135 IV 212 E. 2.3; 123 II 595 E. 7c). 4.</w:t>
      </w:r>
    </w:p>
    <w:p>
      <w:r>
        <w:t>4.1 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Art. 37 Abs. 2 lit. a Ziff. 1 StBOG; Art. 19 Abs. 1 des Organi-</w:t>
      </w:r>
    </w:p>
    <w:p>
      <w:r>
        <w:t>- 6 -</w:t>
      </w:r>
    </w:p>
    <w:p>
      <w:r>
        <w:t>sationsreglements vom 31. August 2010 für das Bundesstrafgericht [BStGerOR; SR 173.713.161]).</w:t>
      </w:r>
    </w:p>
    <w:p>
      <w:r>
        <w:t>Die angefochtene Schlussverfügung vom 16. Mai 2011 wurde am 24. Mai 2011 der Bank H. zugestellt (Verfahrensakten Staatsanwaltschaft, Urk. 19/2), welche in der Folge Mitteilung an die im Ausland domizilierten Beschwerdeführerinnen machten (Art. 80n Abs. 1 i.V.m. Art. 80m Abs. 1 e contrario IRSG). Die vorliegende Beschwerde vom 23. Juni 2011 wurde demnach innerhalb der 30-tägigen Beschwerdefrist erhoben.</w:t>
      </w:r>
    </w:p>
    <w:p>
      <w:r>
        <w:t>4.2</w:t>
      </w:r>
    </w:p>
    <w:p>
      <w:r>
        <w:t>4.2.1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und nicht per se beschwerdelegitimiert (Art. 21 Abs. 3 IRSG; BGE 116 Ib 106 E. 2a; TPF 2007 79 E. 1.6.3). Bei der Erhebung von Kontoinformationen gilt als persönlich und direkt be- troffen im Sinne der Art. 21 Abs. 3 und Art. 80h IRSG der Kontoinhaber (Art. 9a lit. a IRSV; BGE 137 IV 134 E. 5.2.1; 118 Ib 547 E. 1d; 122 II 130 E. 2b; TPF 2007 79 E. 1.6).</w:t>
      </w:r>
    </w:p>
    <w:p>
      <w:r>
        <w:t>4.2.2 Die angefochtene Schlussverfügung ordnet u.a. die rechtshilfeweise Her- ausgabe von Bankunterlagen betreffend das Konto Nr. 1, lautend auf die Beschwerdeführerin 2, und das Konto Nr. 2, lautend auf die Beschwerde- führerin 1, bei der Bank H. an.</w:t>
      </w:r>
    </w:p>
    <w:p>
      <w:r>
        <w:t>Die Beschwerdeführerinnen 1 und 2 sind im Lichte der vorstehend zitierten Rechtsprechung von der angeordneten Rechtshilfemassnahme in dem Um- fang persönlich und direkt im Sinne von Art. 9a lit. a IRSV betroffen, in wel- chem sie Inhaber der fraglichen Konten sind. Diesbezüglich gelten sie als beschwerdelegitimiert, weshalb auf ihre Beschwerde einzutreten ist.</w:t>
      </w:r>
    </w:p>
    <w:p>
      <w:r>
        <w:t>5. 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Beschwerdekammer des Bundesstrafgerichts überprüft zudem die Richtigkeit und die Vollständigkeit der Feststellung des rechtserheblichen Sachverhalts sowie die Angemessenheit des angefoch- tenen Entscheides gemäss Art. 49 lit. b und c VwVG i.V.m. Art. 39 Abs. 2 lit. b StBOG (s. TPF 2007 57 E. 3.2).</w:t>
      </w:r>
    </w:p>
    <w:p>
      <w:r>
        <w:t>- 7 -</w:t>
      </w:r>
    </w:p>
    <w:p>
      <w:r>
        <w:t>6. 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RR.2007.27 vom 10. April 2007, E. 2.3; s. ferner JdT 2008 IV 66 N. 331 S. 166). In die- sem Sinne sind die im Rahmen des Schriftenwechsels innert Frist vorge- brachten tatsächlichen wie auch rechtlichen Noven grundsätzlich zulässig, soweit diese nicht mit neuen Begehren einhergehen (vgl. auch FRANK SEE- THALER/FABIA BOCHSLER, in: Bernhard Waldmann/Philippe Weissenberger (Hrsg.), Praxiskommentar VwVG, Zürich 2009, N. 78 f. zu Art. 52).</w:t>
      </w:r>
    </w:p>
    <w:p>
      <w:r>
        <w:t>7. 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1A.59/2004 vom 16. Juli 2004, E. 5.2, mit weiteren Hinwei- sen).</w:t>
      </w:r>
    </w:p>
    <w:p>
      <w:r>
        <w:rPr>
          <w:b/>
        </w:rPr>
        <w:t>E. 8</w:t>
      </w:r>
    </w:p>
    <w:p>
      <w:r>
        <w:t>November 2001 ergangene zweite Zusatzprotokoll (2. ZP; SR 0.351.12) und sowie die Bestimmungen der Art. 48 ff. des Übereinkommens vom 19. Juni 1990 zur Durchführung des Übereinkommens von Schengen vom 14. Juni 1985 (Schengener Durchführungsübereinkommen, SDÜ; ABl. L 239 vom 22. September 2000, S. 19 – 62) zwecks Ergänzung und Er- leichterung der Anwendung des EUeR massgebend. Die zwischen den Vertragsparteien geltenden weitergehenden Bestimmungen aufgrund bila- teraler Abkommen unberührt bleiben (Art. 48 Abs. 2 SDÜ). Zusätzlich kann das von beiden Ländern ratifizierte Übereinkommen vom 8. Novem- ber 1990 über Geldwäscherei sowie Ermittlung, Beschlagnahme und Ein- ziehung von Erträgen aus Straftaten (GwUe; SR 0.311.53) zur Anwendung gelangen. Unberührt bleiben auch in diesem Zusammenhang allfällige wei- tergehende Bestimmungen aufgrund bilateraler oder multilateraler Abkom- men (vgl. Art. 39 Ziff. 2 und 3 GwUe).</w:t>
      </w:r>
    </w:p>
    <w:p>
      <w:r>
        <w:rPr>
          <w:b/>
        </w:rPr>
        <w:t>E. 8.1</w:t>
      </w:r>
    </w:p>
    <w:p>
      <w:r>
        <w:t>Im Rahmen der Replik rügen die Beschwerdeführerinnen die Verletzung ihres rechtlichen Gehörs (act. 13 S. 1 f.).</w:t>
      </w:r>
    </w:p>
    <w:p>
      <w:r>
        <w:rPr>
          <w:b/>
        </w:rPr>
        <w:t>E. 8.2</w:t>
      </w:r>
    </w:p>
    <w:p>
      <w:r>
        <w:t>Der in Art. 29 Abs. 2 BV verankerte Anspruch auf rechtliches Gehör wird im Bereich der internationalen Rechtshilfe in Art. 12 Abs. 1 IRSG i.V.m. Art. 29 ff. VwVG konkretisiert. Diese Bestimmungen kommen sowohl in Verfahren vor den Bundesbehörden als auch vor kantonalen Behörden zur Anwen- dung (ROBERT ZIMMERMANN, La coopération judiciaire internationale en matière pénale, 3. Aufl., Bern 2009, S. 437 N. 472). Bezieht sich das Rechtshilfeersuchen – wie vorliegend – auf die Herausgabe von Bankunter- lagen oder andere Beweismittel, muss die ausführende Behörde dem ge- mäss Art. 80h lit. b IRSG und Art. 9a IRSV Berechtigten vorgängig an den Erlass der Schlussverfügung die Gelegenheit geben, sich zum Rechtshilfe- ersuchen zu äussern und unter Angabe der Gründe geltend zu machen, welche Unterlagen etwa in Anwendung des Verhältnismässigkeitsprinzips nicht herauszugeben sind (vgl. Art. 30 Abs. 1 VwVG; BGE 130 II 14 E. 4.3 S. 16; 126 II 258 E. 9b/aa S. 262; TPF RR.2007.24 vom 8. Mai 2007 E. 3.1).</w:t>
      </w:r>
    </w:p>
    <w:p>
      <w:r>
        <w:t>- 8 -</w:t>
      </w:r>
    </w:p>
    <w:p>
      <w:r>
        <w:rPr>
          <w:b/>
        </w:rPr>
        <w:t>E. 8.3</w:t>
      </w:r>
    </w:p>
    <w:p>
      <w:r>
        <w:t>Mit Eintretensverfügung vom 30. März 2011 untersagte die Beschwerde- gegnerin der Bank H., die betroffenen Kontoinhaber über das Rechtshilfe- ersuchen zu informieren. Mit Schreiben vom 16. Mai 2011 hob die Be- schwerdegegnerin das Mitteilungsverbot auf und ersuchte die Bank H. auf, u.a. die Beschwerdeführerinnen entsprechend zu informieren (Verfahrens- akten Staatsanwaltschaft, Urk. 16). Noch am selben Tag erliess die Be- schwerdegegnerin die Schlussverfügung. Die Beschwerdeführerinnen ha- ben vom Rechtshilfeersuchen der portugiesischen Behörden frühestens gleichzeitig mit Erlass der Schlussverfügung Kenntnis nehmen können. Durch diese Vorgehensweise hat die Beschwerdegegnerin den Beschwer- deführerinnen die Gelegenheit genommen, sich vorgängig an den Erlass der Schlussverfügung zum Rechtshilfeersuchen zu äussern, und damit de- ren rechtliches Gehör verletzt.</w:t>
      </w:r>
    </w:p>
    <w:p>
      <w:r>
        <w:rPr>
          <w:b/>
        </w:rPr>
        <w:t>E. 8.4</w:t>
      </w:r>
    </w:p>
    <w:p>
      <w:r>
        <w:t>Da die Beschwerdekammer des Bundesstrafgerichts über die gleiche Überprüfungsbefugnis wie die ausführende Behörde verfügt und die Be- schwerdeführerinnen vorliegend Gelegenheit hatten, sich in diesem Verfah- ren umfassend zum Rechtshilfeverfahren zu äussern, sind ihnen durch die vorinstanzliche Gehörsverletzung keine Nachteile erwachsen. Unter diesen Umständen ist die Verletzung des rechtlichen Gehörs durch die ausführen- de Behörde geheilt worden. Soweit den Beschwerdeführerinnen die Kosten für dieses Verfahren aufzuerlegen sein werden, wird bei deren Festlegung der vorinstanzlichen Gehörsverletzung Rechnung zu tragen sein (TPF 2008 172 E. 2.3).</w:t>
      </w:r>
    </w:p>
    <w:p>
      <w:r>
        <w:rPr>
          <w:b/>
        </w:rPr>
        <w:t>E. 9.1</w:t>
      </w:r>
    </w:p>
    <w:p>
      <w:r>
        <w:t>Gegen die Herausgabe der Bankunterlagen bringen die Beschwerdeführe- rinnen im Wesentlichen vor, auch die ergänzte Sachverhaltsdarstellung sei lückenhaft und erfülle die Voraussetzung der doppelten Strafbarkeit nicht. Sie stellen sich auf den Standpunkt, das geschilderte Verhalten liesse sich weder unter den Tatbestand der Veruntreuung noch der ungetreuen Ge- schäftsbesorgung oder der Geldwäscherei subsumieren. Die blosse Zah- lung von Kommissionen sei, selbst wenn es sich um hohe Beträge handle, nicht strafbar. Es gebe in Portugal weder eine Regelung noch eine Praxis, welche die Höhe der Kommissionen im Zusammenhang mit Spielertrans- fers begrenzen würde. Die von der ausführenden Behörde verlangten An- gaben zu den untersuchten Straftaten seien von der ersuchenden Behörde nicht geliefert worden, weshalb das Rechtshilfeersuchen androhungsge- mäss hätte abgewiesen werden müssen (act. 1 S. 10 ff.).</w:t>
      </w:r>
    </w:p>
    <w:p>
      <w:r>
        <w:t>- 9 -</w:t>
      </w:r>
    </w:p>
    <w:p>
      <w:r>
        <w:rPr>
          <w:b/>
        </w:rPr>
        <w:t>E. 9.2</w:t>
      </w:r>
    </w:p>
    <w:p>
      <w:r>
        <w:t>In formeller Hinsicht muss das Rechtshilfeersuchen insbesondere Angaben über den Gegenstand und den Grund des Ersuchens enthalten (Art. 14 Ziff. 1 lit. b EUeR). Ausserdem muss das Ersuchen in Fällen wie dem vorliegenden die strafbare Handlung bezeichnen und eine kurze Dar- stellung des Sachverhalts enthalten (Art. 14 Ziff. 2 EUeR). Art. 28 Abs. 2 und 3 IRSG i. V. m. Art. 10 IRSV stellen entsprechende Anforderungen an das Rechtshilfeersuchen. Diese Angaben müssen der ersuchten Behörde allerdings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(vgl. statt vieler Entscheid des Bundesstrafgerichts RR.2009.324 vom 28. Juli 2010, E. 3.2 sowie BGE 129 II 97 E. 3.1 S. 98 m. w. 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 kräftet wird (vgl. BGE 132 II 81 E. 2.1 S. 85 mit Hinweisen; Urteil des Bun- desgerichts 1A.90/2006 vom 30. August 2006, E. 2.1; Entscheid des Bun- desstrafgerichts RR.2009.324, E. 3.2; TPF 2007 150 E. 3.2.4).</w:t>
      </w:r>
    </w:p>
    <w:p>
      <w:r>
        <w:rPr>
          <w:b/>
        </w:rPr>
        <w:t>E. 9.3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(ausführlich dazu NADJA CAPUS, Strafrecht und Souveränität: Das Erforder- nis der beidseitigen Strafbarkeit in der internationalen Rechtshilfe in Straf- sachen, Bern 2010, S. 349 f.). Art. 64 Abs. 1 IRSG bestimmt für die akzes- sorische Rechtshilfe, dass prozessuale Zwangsmassnahmen nur ange- wendet werden dürfen, wenn aus der Sachverhaltsdarstellung im Ersuchen hervorgeht, dass die im Ausland verfolgte Handlung die objektiven Merk- male eines nach schweizerischem Recht strafbaren Tatbestandes aufweist</w:t>
      </w:r>
    </w:p>
    <w:p>
      <w:r>
        <w:t>- 10 -</w:t>
      </w:r>
    </w:p>
    <w:p>
      <w:r>
        <w:t>(vgl.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 2006, E. 3.3; 1A.80/2006 vom 30. Ju- ni 2006, E. 2.2; ZIMMERMANN, a.a.O., N. 583 S. 536).</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ZIMMERMANN, a.a.O., S. 537 N. 584). Die Strafnormen brauchen nach den Rechtssystemen der Schweiz und des ersuchenden Staates nicht identisch zu sein (vgl. Urteil des Bundesgerichts 1A.125/2006 vom 10. August 2006, E. 2.1 m.w.H.). Ebenfalls nicht erforderlich ist, dass dem von der Rechtshilfemassnahme Betroffenen im ausländischen Straf- verfahren selbst ein strafbares Verhalten zur Last gelegt wird (Urteil des Bundesgerichts 1A.245/2006 vom 26. Januar 2007, E. 3; Entscheid des Bundesstrafgerichts RR.2007.29 vom 30. Mai 2007, E. 3, sowie der Nichteintretensentscheid des Bundesgerichts 1C.150/2007 vom 15. Juni 2007, E. 1.3 dazu). Für die Bejahung der doppelten Strafbarkeit genügt es, wenn der im Rechtshilfeersuchen geschilderte Sachverhalt unter einen Straftatbestand des schweizerischen Rechts subsumiert werden kann. Es braucht nicht geprüft zu werden, ob darüber hinaus noch weitere Tatbe- stände erfüllt sein könnten (vgl. BGE 129 II 462 E. 4.6 S. 46; Urteile des Bundesgerichts 1A.44/2007 vom 7. Juni 2007, E. 6.2; 1C.138/2007 vom 17. Juli 2007, E. 2.3.2).</w:t>
      </w:r>
    </w:p>
    <w:p>
      <w:r>
        <w:rPr>
          <w:b/>
        </w:rPr>
        <w:t>E. 9.4</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Abs. 3 StGB). Geschäftsführer ist nicht nur, wer Rechtsgeschäfte nach aussen abzuschliessen hat, sondern auch, wer</w:t>
      </w:r>
    </w:p>
    <w:p>
      <w:r>
        <w:t>- 11 -</w:t>
      </w:r>
    </w:p>
    <w:p>
      <w:r>
        <w:t>entsprechend seiner Fürsorgepflicht im Innenverhältnis für fremde Vermö- gensinteressen sorgen soll (BGE 129 IV 124 E. 3.1 S. 126; 123 IV 17 E. 3b; 120 IV 190 E. 2b; 118 IV 244 E. 2a, je mit Hinweisen). Der Tatbe- stand der ungetreuen Geschäftsbesorgung ist ein Verletzungsdelikt. Der Tatbestand ist erfüllt, wenn der Täter in der Stellung eines Geschäftsfüh- rers treuwidrig eine Schutzpflicht zur Wahrung fremder Vermögensinteres- sen verletzt hat und es dadurch zu einer Schädigung des anvertrauten Vermögens gekommen ist. Die Tathandlung besteht darin, dass der Täter die ihm obliegende Vermögensfürsorgepflicht verletzt. Das pflichtwidrige Verhalten kann sowohl im Abschluss als auch im Unterlassen des Ab- schlusses von Rechtsgeschäften liegen, als auch darin, dass der Täter die ihm obliegende Vermögensfürsorgepflichten durch Realakte bzw. deren Unterlassung verletzt (GÜNTER STRATENWERTH/WOLFGANG WOHLERS, Schweizerisches Strafgesetzbuch, Handkommentar, 2. Aufl., Bern 2009, N. 4 zu Art. 158 StGB mit Hinweisen). Ein Vermögensschaden liegt nach der Rechtsprechung vor bei tatsächlicher Schädigung durch Verminderung der Aktiven, Vermehrung der Passiven, Nicht-Verminderung der Passiven oder Nicht-Vermehrung der Aktiven sowie dann, wenn das Vermögen in einem Masse gefährdet wird, dass es in seinem wirtschaftlichen Wert vermindert ist (BGE 129 IV 124 E. 3.1 S. 125 f. mit Hinweisen).</w:t>
      </w:r>
    </w:p>
    <w:p>
      <w:r>
        <w:rPr>
          <w:b/>
        </w:rPr>
        <w:t>E. 9.5</w:t>
      </w:r>
    </w:p>
    <w:p>
      <w:r>
        <w:t>Im ergänzenden Rechtshilfeersuchen vom 15. Juli 2010 schildert die ersu- chende Behörde im Einzelnen sechs Spielertransfers im Zeitraum zwischen 2003 und 2006, in deren Zusammenhang es zu sehr grossen und nicht er- klärbaren Kommissionszahlungen des Fussballklubs C. an Offshore Ge- sellschaften gekommen sein soll (Verfahrensakten Staatsanwaltschaft, Urk. 8). Beim Transfer von drei Fussballspielern sollen die Kommissionen auf das Konto Nr. 5 bei der Bank H., lautend auf die Beschwerdeführerin 2, und auf das Konto Nr. 6, lautend auf die Beschwerdeführerin 1, einbezahlt wor- den sein.</w:t>
      </w:r>
    </w:p>
    <w:p>
      <w:r>
        <w:t>So habe der Fussballklub C. im Juni 2004 die Sportrechte an dem Fuss- ballspieler L. für EUR 20 Mio. an den FC M. verkauft und gestützt auf die- sen Transfer am 23. Juli 2004 eine Kommission in der Höhe von EUR 1'759'875.-- auf das vorgenannte Konto der Beschwerdeführerin 1 einbezahlt. Zudem habe der Fussballklub C. im Juli 2004 die Sportrechte an dem Fussballspieler N. für EUR 30 Mio. ebenfalls an den FC M. verkauft und gestützt auf diesen Transfer am 26. August 2004 zum einen eine Kommission in der Höhe von EUR 1'353'750.-- auf dasselbe Konto der Be- schwerdeführerin 1 und zum anderen am 10. September 2004 eine weitere Kommission in der Höhe von EUR 1'401'250.-- auf das auf die Beschwer- deführerin 2 lautende Konto bei der Bank H. einbezahlt. Da bekannt sei,</w:t>
      </w:r>
    </w:p>
    <w:p>
      <w:r>
        <w:t>- 12 -</w:t>
      </w:r>
    </w:p>
    <w:p>
      <w:r>
        <w:t>dass beide Geschäfte durch das Unternehmen O. des Unternehmers P. gemacht worden seien, sei nicht nachvollziehbar, weshalb die Kommissio- nen in der Höhe von gesamthaft über EUR 4,5 Mio an die Beschwerdefüh- rerin 2 und an die Beschwerdeführerin 1 bezahlt worden seien. Es sei auch unklar, welche Leistung die Beschwerdeführerin 2 und die Beschwerdefüh- rerin 1 tatsächlich erbracht hätten, welche die Bezahlung von Kommissio- nen rechtfertigen könnte (Verfahrensakten Staatsanwaltschaft, Urk. 8 S. 2 f.). Die ersuchende Behörde vermutet, dass diese Zahlungen zulasten des Fussballklubs und zugunsten der Dirigenten des Fussballklubs und/oder Dritten erfolgt seien (Verfahrensakten Staatsanwaltschaft, Urk. 8 S. 1 f.).</w:t>
      </w:r>
    </w:p>
    <w:p>
      <w:r>
        <w:t>In einem weiteren Fall habe der Fussballklub C. am 3. September 2004 80 % der Sportrechte an dem Fussballspieler Q. vom Fussballklub R. (Land U.) für EUR 3 Mio. erworben und am gleichen Tag eine Kommission in der Höhe von EUR 1,5 Mio. auf das Konto der Beschwerdeführerin 2 einbe- zahlt. Hierzu hält die ersuchende Behörde fest, dass es keine Zweifel dar- über gebe, dass die Kommission im Vergleich zum offiziellen Erwerbspreis übertrieben hoch sei. Ausserdem sei aufgrund der bekannten Unterlagen nicht nachzuvollziehen, welche Leistung erbracht worden sei, welche eine solche Zahlung rechtfertigen könnte (Verfahrensakten Staatsanwaltschaft, Urk. 8 S. 5).</w:t>
      </w:r>
    </w:p>
    <w:p>
      <w:r>
        <w:rPr>
          <w:b/>
        </w:rPr>
        <w:t>E. 9.6</w:t>
      </w:r>
    </w:p>
    <w:p>
      <w:r>
        <w:t>Beide Beschwerdeführerinnen anerkennen in tatsächlicher Hinsicht die vorgeworfenen Transaktionen, verneinen aber den von der ersuchenden Behörde erhobenen Vorwurf in rechtlicher Hinsicht. Mit ihren Bestreitungen vermögen sie allerdings nicht offensichtliche Fehler, Lücken oder Wider- sprüche aufzuzeigen, welche die vorstehende Sachverhaltsdarstellung der ersuchenden Behörde im Sinne der Rechtsprechung sofort und insgesamt entkräften würden. Solche Mängel sind auch nicht ersichtlich. Wie sich nachfolgend zeigen wird, erlaubt die vorstehend wiedergegebene Sachver- haltsdarstellung der ersuchenden Behörde insbesondere die Prüfung der doppelten Strafbarkeit.</w:t>
      </w:r>
    </w:p>
    <w:p>
      <w:r>
        <w:t>Die ersuchende Behörde verdächtigt die betreffenden verantwortlichen Personen des Fussballklubs C., 2004 Zahlungen über mehrere Millionen EUR ohne Rechtsgrund zugunsten der Beschwerdeführerinnen 1 und 2 veranlasst und in diesem Umfang den Fussballklub geschädigt zu haben. Ein solches Verhalten kann bei einer prima facie Beurteilung ohne Weiteres nach schweizerischem Recht unter den Tatbestand der ungetreuen Ge- schäftsbesorgung gemäss Art. 158 Ziff. 1 Abs. 1 StGB subsumiert werden und wäre somit auch in der Schweiz strafbar. Ob der Sachverhalt auch un- ter andere Tatbestände subsumiert werden kann, muss bei diesem Ergeb-</w:t>
      </w:r>
    </w:p>
    <w:p>
      <w:r>
        <w:t>- 13 -</w:t>
      </w:r>
    </w:p>
    <w:p>
      <w:r>
        <w:t>nis nicht weiter geprüft werden (s. supra Ziff. 9.3). Im Lichte dieser Erwä- gungen erweisen sich die Einwendungen hinsichtlich der Sachverhaltsdarstellung und ihrer rechtlichen Qualifikation als unbehelflich. Zusammenfassend steht demnach fest, dass sich die im Hinblick auf das Erfordernis der doppelten Strafbarkeit erhobenen Rügen als unbegründet erweisen.</w:t>
      </w:r>
    </w:p>
    <w:p>
      <w:r>
        <w:rPr>
          <w:b/>
        </w:rPr>
        <w:t>E. 10</w:t>
      </w:r>
    </w:p>
    <w:p>
      <w:r>
        <w:t>Bei diesem Ausgang des Verfahrens werden die Beschwerdeführerinnen kostenpflichtig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Unter Berücksichtigung der vo- rinstanzlichen Gehörsverletzung (s. supra Ziff. 8.4) rechtfertigt es sich vor- liegend, die Gebühr für beide Beschwerdeführerinnen zusammen auf Fr. 5'000.-- anzusetzen und den Beschwerdeführerinnen unter solidarischer Haftung aufzuerlegen, unter Anrechnung des geleisteten Kostenvorschus- ses in der Höhe von gesamthaft Fr. 6'000.-- (Art. 8 Abs. 3 lit. a des Regle- ments). Die Bundesstrafgerichtskasse ist anzuweisen, den Beschwerdefüh- rerinnen den Restbetrag von Fr. 1'000.-- zurückzuerstatten.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