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RR.2011.1 vom 18. Oktober 2011</w:t>
      </w:r>
    </w:p>
    <w:p>
      <w:r>
        <w:t>Bundesstrafgericht, 2011-10-18, DE</w:t>
      </w:r>
    </w:p>
    <w:p>
      <w:r>
        <w:rPr>
          <w:b/>
        </w:rPr>
        <w:t xml:space="preserve">Quelle: </w:t>
      </w:r>
      <w:r>
        <w:t>https://mcp.opencaselaw.ch/entscheid/bstger_RR.2011.1</w:t>
      </w:r>
    </w:p>
    <w:p>
      <w:r>
        <w:t>FR: TPF RR.2011.1 du 18 octobre 2011</w:t>
      </w:r>
    </w:p>
    <w:p>
      <w:r>
        <w:t>IT: TPF RR.2011.1 del 18 ottobre 2011</w:t>
      </w:r>
    </w:p>
    <w:p>
      <w:pPr>
        <w:pStyle w:val="Heading2"/>
      </w:pPr>
      <w:r>
        <w:t>Regeste</w:t>
      </w:r>
    </w:p>
    <w:p>
      <w:r>
        <w:t>Internationale Rechtshilfe in Strafsachen an Griechenland. Herausgabe von Beweismitteln (Art. 74 Abs. 1 IRSG). Beschlagnahme von Gegenständen (Art. 74a Abs. 1 IRSG i.V.m. Art. 33a IRSV).</w:t>
      </w:r>
    </w:p>
    <w:p>
      <w:pPr>
        <w:pStyle w:val="Heading2"/>
      </w:pPr>
      <w:r>
        <w:t>Erwägungen</w:t>
      </w:r>
    </w:p>
    <w:p>
      <w:r>
        <w:rPr>
          <w:b/>
        </w:rPr>
        <w:t>E. 1</w:t>
      </w:r>
    </w:p>
    <w:p>
      <w:r>
        <w:t>Dezember 2010 die Schlussverfügung erliess und die Herausgabe der Rapporte der Kantonspolizei vom 18. Mai 2010 und 2. Novem- ber 2010, der Kopie der Empfangsbescheinigung der Kantonspolizei Zürich für die A. AG vom 16. Oktober 2009, des Kundenblattes der A. AG für die B. Ltd. (nachfolgend „B. Ltd.“) bzw. die E. SA, der von der Kantonspolizei Zürich angefertigten Fototafel der Oktadrachmon-Münze sowie des Vollzugsbe- richts der Kantonspolizei Genf vom 25. Oktober 2010 samt Beilagen ver- fügte. Ferner ordnete sie die Aufrechterhaltung der Beschlagnahme der Oktadrachmon-Münze an bis die ersuchende Behörde über die Beschlag- nahme rechtskräftig entschieden habe (Verfahrensakten Urk. 31 S. 9 f.).</w:t>
      </w:r>
    </w:p>
    <w:p>
      <w:r>
        <w:t>F. Dagegen erhoben die A. AG und die B. Ltd. bei der II. Beschwerdekammer des Bundesstrafgerichts mit Eingabe vom 31. Dezember 2010 Beschwerde und beantragen die kostenfällige Aufhebung der Eintretens- und Zwischen- verfügung vom 9. März 2010 sowie der Schlussverfügung vom 1. Dezem- ber 2010 sowie die Rückgabe der Münze an die A. AG oder an die B. Ltd. (act. 1 S. 2).</w:t>
      </w:r>
    </w:p>
    <w:p>
      <w:r>
        <w:t>Die Beschwerdegegnerin beantragt am 7. Februar 2011, auf die Be- schwerde der B. Ltd. sei nicht einzutreten, und die Beschwerde der A. AG sei abzuweisen, soweit darauf einzutreten sei (act. 10). Das BJ beantragt in seiner Beschwerdeantwort die Abweisung der Beschwerde, sofern darauf einzutreten sei (act. 11). Die Beschwerdegegnerin reicht am 16. Februar 2011 zuhanden der Beschwerdeakten ein Gutachten des grie- chischen Staates betreffend die Oktadrachmon-Münze ein (act. 15 und 15.1-2). Nachdem den Beschwerdeführerinnen am 17. Februar 2011 Ak- teneinsicht gewährt worden ist (act. 16), reichen diese mit Eingabe vom</w:t>
      </w:r>
    </w:p>
    <w:p>
      <w:r>
        <w:rPr>
          <w:b/>
        </w:rPr>
        <w:t>E. 1.1</w:t>
      </w:r>
    </w:p>
    <w:p>
      <w:r>
        <w:t>Für die Rechtshilfe zwischen Griechenland und der Schweiz sind primär die Bestimmungen des Europäischen Übereinkommens über die Rechtshilfe in Strafsachen vom 20. April 1959 (EUeR; SR 0.351.1), dem beide Staaten beigetreten sind, sowie das zu diesem Übereinkommen am 8. Novem- ber 2001 ergangene zweite Zusatzprotokoll (2. ZP; SR 0.351.12) massgeb- lich. Überdies gelangen die Bestimmungen der Art. 48 ff. des Übereinkom- mens vom 19. Juni 1990 zur Durchführung des Übereinkommens von Schengen vom 14. Juni 1985 (Schengener Durchführungsübereinkommen, SDÜ; ABl. L 239 vom 22. September 2000, S. 19 - 62), zur Anwendung, wobei die zwischen den Vertragsparteien geltenden weitergehenden Be- stimmungen aufgrund bilateraler Abkommen unberührt bleiben (Art. 48 Abs. 2 SDÜ).</w:t>
      </w:r>
    </w:p>
    <w:p>
      <w:r>
        <w:rPr>
          <w:b/>
        </w:rPr>
        <w:t>E. 1.2</w:t>
      </w:r>
    </w:p>
    <w:p>
      <w:r>
        <w:t>Soweit das Staatsvertragsrecht bestimmte Fragen nicht abschliessend re- gelt, gelangen das Bundesgesetz über internationale Rechtshilfe in Straf- sachen vom 20. März 1981 (IRSG; SR 351.1) und die Verordnung über in- ternationale Rechtshilfe in Strafsachen vom 24. Februar 1982 (IRSV; SR 351.11) zur Anwendung (Art. 1 Abs. 1 IRSG; BGE 130 II 337 E. 1; 128 II 355 E. 1; 124 II 180 E. 1a). Das innerstaatliche Recht gilt nach dem Günstigkeitsprinzip auch dann, wenn dieses geringere Anforderungen an die Rechtshilfe stellt (BGE 136 IV 82, E. 3.1; 129 II 462 E. 1.1, mit weiteren Hinweisen). Vorbehalten bleibt die Wahrung der Menschenrechte (BGE 135 IV 212 E. 2.3; 123 II 595 E. 7c). 2.</w:t>
      </w:r>
    </w:p>
    <w:p>
      <w:r>
        <w:t>2.1 Beim angefochtenen Entscheid handelt es sich um eine Schlussverfügung der ausführenden kantonalen Behörde in internationalen Rechtshilfeange- legenheiten, gegen welche zusammen mit den vorangehenden Zwischen- verfügungen innert 30 Tagen ab der schriftlichen Mitteilung bei der II. Be- schwerdekammer des Bundesstrafgerichts Beschwerde geführt werden kann (Art. 80e Abs. 1 i.V.m. Art. 80k IRSG; Art. 37 Abs. 2 lit. a des Bun- desgesetzes vom 19. März 2010 über die Organisation der Strafbehörden des Bundes [Strafbehördenorganisationsgesetz, StBOG; SR 173.71] in Verbindung mit Art. 19 Abs. 2 des Organisationsreglements für das Bun- desstrafgericht vom 31. August 2010 [BStGerOR; SR 173.713.161]).</w:t>
      </w:r>
    </w:p>
    <w:p>
      <w:r>
        <w:t>Die Schlussverfügung datiert vom 1. Dezember 2010. Die Beschwerde vom 31. Dezember 2010 wurde fristgerecht eingereicht.</w:t>
      </w:r>
    </w:p>
    <w:p>
      <w:r>
        <w:t>- 5 -</w:t>
      </w:r>
    </w:p>
    <w:p>
      <w:r>
        <w:t>2.2</w:t>
      </w:r>
    </w:p>
    <w:p>
      <w:r>
        <w:t>2.2.1 Zur Beschwerdeführung ist berechtigt, wer persönlich und direkt von einer Rechtshilfemassnahme betroffen ist und ein schutzwürdiges Interesse an deren Aufhebung oder Änderung hat (Art. 80h lit. b IRSG). Ein schutzwür- diges Interesse liegt nicht schon dann vor, wenn jemand irgendeine Bezie- hung zum Streitobjekt zu haben behauptet. Zur Bejahung der Legitimation ist vielmehr erforderlich, dass der angefochtene Entscheid den Beschwer- deführer in stärkerem Masse berührt als die Allgemeinheit der Bürger bzw. eine vom einschlägigen Bundesrecht erfasste spezifische Beziehungsnähe gegeben ist. Die Rechtsprechung anerkennt deshalb die Legitimation jeder natürlichen oder juristischen Person, die von einer Rechtshilfemassnahme unmittelbar berührt wird, verneint dagegen die Beschwerdebefugnis von Personen, die nur mittelbar von der angefochtenen Verfügung betroffen sind (zum Ganzen BGE 130 II 162 E. 1.1 S. 163; 128 II 211 E. 2.3 S. 217; 123 II 153 E. 2b S. 156; TPF 2007 79 E. 1.6, je m.w.H.). Beschwerdelegiti- mierte juristische Personen handeln durch ihre Organe (Art. 54 f. ZGB; VE- RA MARANTELLI-SONANINI/SAID HUBER, Praxiskommentar zum Bundesge- setz über das Verwaltungsverfahren, Zürich/Basel/Genf 2009, N. 14 zu Art.</w:t>
      </w:r>
    </w:p>
    <w:p>
      <w:r>
        <w:rPr>
          <w:b/>
        </w:rPr>
        <w:t>E. 4</w:t>
      </w:r>
    </w:p>
    <w:p>
      <w:r>
        <w:t>März 2011 innert erstreckter Frist die Replik ein. Sie halten an den be- reits in der Beschwerdeschrift gestellten Anträgen fest (act. 18). Die Staatsanwaltschaft und das BJ verzichten je auf eine Duplik (act. 20 und 21).</w:t>
      </w:r>
    </w:p>
    <w:p>
      <w:r>
        <w:t>Auf die Ausführungen der Parteien und die eingereichten Akten wird, so- weit erforderlich, in den rechtlichen Erwägungen Bezug genommen.</w:t>
      </w:r>
    </w:p>
    <w:p>
      <w:r>
        <w:t>- 4 -</w:t>
      </w:r>
    </w:p>
    <w:p>
      <w:r>
        <w:t>Die II. Beschwerdekammer zieht in Erwägung:</w:t>
      </w:r>
    </w:p>
    <w:p>
      <w:r>
        <w:t>1.</w:t>
      </w:r>
    </w:p>
    <w:p>
      <w:r>
        <w:rPr>
          <w:b/>
        </w:rPr>
        <w:t>E. 4.1</w:t>
      </w:r>
    </w:p>
    <w:p>
      <w:r>
        <w:t>Die Beschwerdeführerinnen monieren sodann, dass die beschlagnahmte Oktadrachmon-Münze nicht mit jener Münze identisch sein könne, die ge- mäss Rechtshilfeersuchen vom 3. Februar 2010 gegen Ende des Jahres 2008 von einer Ausgrabungsstätte in Serres gestohlen worden sei. Denn die Beschwerdeführerin 2 habe die fragliche Oktadrachmon-Münze bereits am 6. Juli 2006 ausserhalb Griechenlands gekauft. So führe denn auch das Rechtshilfeersuchen weder Ort, Zeit noch die Umstände der Begehung des Diebstahls aus. Die Voraussetzungen von Art. 12 Ziff. 2 lit. b EUeR und Art. 28 Abs. 3 lit. b IRSG bzw. Art. 10 Abs. 2 IRSV seien nicht gegeben. Zudem bestünden ernsthafte Vermutungen, wonach es sich bei der in Zü- rich beschlagnahmten Münze um eine Fälschung handle.</w:t>
      </w:r>
    </w:p>
    <w:p>
      <w:r>
        <w:rPr>
          <w:b/>
        </w:rPr>
        <w:t>E. 4.2</w:t>
      </w:r>
    </w:p>
    <w:p>
      <w:r>
        <w:t>In formeller Hinsicht muss das Rechtshilfeersuchen insbesondere Angaben über den Gegenstand und den Grund des Ersuchens enthalten (Art. 14 Ziff.</w:t>
      </w:r>
    </w:p>
    <w:p>
      <w:r>
        <w:t>- 10 -</w:t>
      </w:r>
    </w:p>
    <w:p>
      <w:r>
        <w:t>1 lit. b EUeR). Ausserdem muss das Ersuchen in Fällen wie dem vorlie- genden die strafbare Handlung bezeichnen und eine kurze Darstellung des Sachverhalts enthalten (Art. 14 Ziff. 2 EUeR). Art. 28 Abs. 2 und 3 IRSG i.V.m. Art. 10 IRSV stellen entsprechende Anforderungen an das Rechtshil- feersuchen. Diese Angaben müssen der ersuchten Behörde die Prüfung er- lauben, ob die doppelte Strafbarkeit gegeben ist (vgl. Art. 5 Ziff. 1 lit. a EUeR), ob die Handlungen, wegen deren um Rechtshilfe ersucht wird, nicht politische oder fiskalische Delikte darstellen (Art. 2 lit. a EUeR) und ob der Grundsatz der Verhältnismässigkeit gewahrt wird (BGE 129 II 97 E. 3.1 S. 98 f. m.w.H.).</w:t>
      </w:r>
    </w:p>
    <w:p>
      <w:r>
        <w:t>Die Rechtsprechung stellt an die Schilderung des Sachverhalts im Rechts- hilfeersuchen keine hohen Anforderungen. Von den Behörden des ersu- chenden Staates kann nicht verlangt werden, dass sie den Sachverhalt, der Gegenstand des hängigen Strafverfahrens bildet, bereits lückenlos und völ- lig widerspruchsfrei darstellen. Das wäre mit dem Sinn und Zweck des Rechtshilfeverfahrens nicht vereinbar, ersucht doch ein Staat einen ande- ren gerade deswegen um Unterstützung, damit er die bisher im Dunkeln gebliebenen Punkte aufgrund von Beweismitteln, die sich im ersuchten Staat befinden, klären kann. Es reicht daher aus, wenn die Angaben im Rechthilfeersuchen den schweizerischen Behörden ermöglichen zu prüfen, ob ausreichend konkrete Verdachtsgründe für eine rechtshilfefähige Straf- tat vorliegen, ob Verweigerungsgründe gegeben sind bzw. in welchem Um- fang dem Begehren allenfalls entsprochen werden muss. Es kann auch nicht verlangt werden, dass die ersuchende Behörde die Tatvorwürfe be- reits abschliessend mit Beweisen belegt. Der Rechtshilferichter hat weder Tat- noch Schuldfragen zu prüfen und grundsätzlich auch keine Beweis- würdigung vorzunehmen, sondern ist vielmehr an die Sachdarstellung im Ersuchen gebunden, soweit sie nicht durch offensichtliche Fehler, Lücken oder Widersprüche sofort entkräftet wird (BGE 133 IV 76 E. 2.2 S. 79; 132 II 81 E. 2.1 S. 85; Entscheide des Bundesstrafgerichts RR.2009.39 vom 22. September 2009, E. 8.1; RR.2008.158 vom 20. November 2008, E. 5.3, je m.w.H).</w:t>
      </w:r>
    </w:p>
    <w:p>
      <w:r>
        <w:rPr>
          <w:b/>
        </w:rPr>
        <w:t>E. 4.3</w:t>
      </w:r>
    </w:p>
    <w:p>
      <w:r>
        <w:t>Dem Rechtshilfeersuchen vom 3. Februar 2010 ist zu entnehmen, dass die 29.32 Gramm schwere, aus dem 6. oder 5. Jahrhundert vor Christus stam- mende und der Epoche König Mousseons zuzuschreibende Oktadrach- mon-Münze gegen Ende 2008 aus einer Ausgrabungsstätte bei Serres (Nordgriechenland) gestohlen und in der Folge illegal ins Ausland exportiert worden sei. Die Sachverhaltsdarstellung im Rechtshilfeersuchen ist knapp, offensichtliche Fehler, Lücken und Widersprüche sind jedoch nicht auszu- machen. Die ersuchende Behörde muss nicht im Detail belegen, worauf sie ihren Verdacht stützt. Es genügt, dass der geschilderte Tatverdacht hinrei-</w:t>
      </w:r>
    </w:p>
    <w:p>
      <w:r>
        <w:t>- 11 -</w:t>
      </w:r>
    </w:p>
    <w:p>
      <w:r>
        <w:t>chend begründet und überzeugend ist (vgl. NADJA CAPUS, Strafrecht und Souveränität: Das Erfordernis der beidseitigen Strafbarkeit in der internati- onalen Rechtshilfe in Strafsachen, Bern 2010, S. 448-451; Urteil des Bun- desgerichts 1A.297/2004 vom 17. März 2005, E. 2.1). Sämtliche Ausfüh- rungen der Beschwerdeführerinnen zur Echtheit der beschlagnahmten Münze betreffen die Beweiswürdigung. Wie bereits erwähnt, ist es nicht Sache des Rechtshilferichters über die Echtheit der beschlagnahmten Münze zu befinden. Die vom anonymen Anzeigeerstatter eingereichten Fo- tos sowie diejenigen, welche von der Kantonspolizei Zürich erstellt worden sind, weisen eine erhebliche Ähnlichkeit auf, sodass nicht von vornherein auszuschliessen ist, dass es sich hierbei um die in Griechenland gestohle- ne Münze handelt. Eine diesbezügliche eingehende Untersuchung wird je- doch Thema im griechischen Strafverfahren sein und ist nicht Sache der ersuchten Behörde oder des Rechtshilferichters. Der Antrag der Beschwer- deführerinnen auf Erstellung eines Gutachtens hinsichtlich der Echtheit der Münze ist daher abzuweisen.</w:t>
      </w:r>
    </w:p>
    <w:p>
      <w:r>
        <w:t>Der Sachverhalt lässt sich prima facie somit ohne weiteres unter den Tat- bestand des Diebstahls im Sinne von Art. 139 StGB subsumieren, womit auch die doppelte Strafbarkeit gegeben ist.</w:t>
      </w:r>
    </w:p>
    <w:p>
      <w:r>
        <w:t>5. 5.1 Die Beschwerdeführerinnen rügen schliesslich eine Verletzung des Ver- hältnismässigkeitsprinzips. Die Münze werde so lange beschlagnahmt blei- ben, bis ein rechtkräftiges Gerichtsurteil des ersuchenden Staates vorliege. Gemäss heutiger Praxis handle es sich hierbei um zehn Jahre, was in An- betracht des Vermögenswertes von über CHF 100'000.-- gegen den ver- fassungsmässigen Grundsatz der Verhältnismässigkeit verstosse (act. 1 S. 14).</w:t>
      </w:r>
    </w:p>
    <w:p>
      <w:r>
        <w:t>5.2 Rechtshilfemassnahmen haben generell dem Prinzip der Verhältnismäs- sigkeit zu genügen (ZIMMERMANN, a.a.O., S. 669 f. N. 715, mit Verweisen auf die Rechtsprechung; Entscheid des Bundesstrafgerichts RR.2007.64 vom 3. September 2007, E. 3.2). Die akzessorische Rechtshilfe ist deshalb nur zulässig, soweit sie für ein Verfahren in strafrechtlichen Angelegenhei- ten im Ausland erforderlich erscheint oder dem Beibringen der Beute dient (vgl. Art. 63 Abs. 1 IRSG). Gegenstände oder Vermögenswerte, die zu Si- cherungszwecken beschlagnahmt wurden, können der zuständigen aus- ländischen Behörde gemäss Art. 74a IRSG in der Regel erst gestützt auf einen rechtskräftigen und vollstreckbaren Einziehungs- oder Rückerstat- tungsentscheid herausgegeben werden. Bis dieser Entscheid vorliegt oder die ersuchende Behörde mitteilt, dass ein solcher nach dem Recht des er-</w:t>
      </w:r>
    </w:p>
    <w:p>
      <w:r>
        <w:t>- 12 -</w:t>
      </w:r>
    </w:p>
    <w:p>
      <w:r>
        <w:t>suchenden Staates nicht mehr erfolgen kann – insbesondere weil die Ver- jährung eingetreten ist - bleiben Gegenstände oder Vermögenswerte be- schlagnahmt (Art. 33a IRSV). Dauert eine Beschlagnahme von Vermö- genswerten sehr lange an, besteht die Gefahr einer unverhältnismässigen Einschränkung der Eigentumsrechte und eine Verletzung des Beschleuni- gungsgebotes gemäss Art. 29 Abs. 1 BV, weshalb die Beschlagnahme von Vermögensgegenständen nicht unbeschränkt aufrechterhalten werden darf.</w:t>
      </w:r>
    </w:p>
    <w:p>
      <w:r>
        <w:t>Die Oktadrachmon-Münze wurde am 7. Oktober 2009 von der Kantonspoli- zei Zürich sichergestellt und befindet sich seit nunmehr 2 Jahren in deren Gewahrsam. Eine übermässig lange Dauer der Beschlagnahme und ein unverhältnismässiger Eingriff in die Eigentumsrechte liegt zum gegenwärti- gen Zeitpunkt noch nicht vor. Die ausführende Behörde ist allerdings ver- pflichtet, den Fortgang des Straf- und Einziehungsverfahrens im ersuchen- den Staat aufmerksam zu verfolgen. Sollte dieses Verfahren nicht mehr vo- rangetrieben werden, sodass mit einer Herausgabe der sichergestellten Oktadrachmon-Münze innert vernünftiger Frist nicht mehr zu rechnen ist, müsste die Beschlagnahme aufgehoben werden (vgl. zum Ganzen BGE 126 II 462 E. 5 S. 467 ff; Urteile des Bundesgerichts 1A.27/2006 und 1A.335/2005 vom 18. August 2006, E. 2.2).</w:t>
      </w:r>
    </w:p>
    <w:p>
      <w:r>
        <w:rPr>
          <w:b/>
        </w:rPr>
        <w:t>E. 6</w:t>
      </w:r>
    </w:p>
    <w:p>
      <w:r>
        <w:t>Nach dem Gesagten ist die Beschwerde der Beschwerdeführerinnen ab- zuweisen, soweit darauf einzutreten ist.</w:t>
      </w:r>
    </w:p>
    <w:p>
      <w:r>
        <w:rPr>
          <w:b/>
        </w:rPr>
        <w:t>E. 7</w:t>
      </w:r>
    </w:p>
    <w:p>
      <w:r>
        <w:t>Bei diesem Ausgang des Verfahrens werden die Beschwerdeführerinnen kostenpflichtig (Art. 63 Abs. 1 VwVG i.V.m. Art. 39 Abs. 2 lit. b StBOG). Für die Berechnung der Gerichtsgebühren gelangt das Reglement des Bun- desstrafgerichts vom 31. August 2010 über die Kosten, Gebühren und Ent- schädigungen in Bundesstrafverfahren (BStKR; SR 173.713.162) zur An- wendung (Art. 53 Abs. 2 lit. a, Art. 73 StBOG i.V.m. Art. 65 Abs. 5 VwVG sowie Art. 22 Abs. 3 BStKR). Die Gerichtsgebühr ist vorliegend wegen der erfolgten Gehörsverletzung (E. 3.3) zu reduzieren und auf Fr. 4'500.-- an- zusetzen und den Beschwerdeführerinnen unter solidarischer Haftung auf- zuerlegen, unter Anrechnung des geleisteten Kostenvorschusses von Fr. 5'000.-- (Art. 5 und 8 Abs. 3 lit. a BStKR). Die Bundesstrafgerichtskasse ist anzuweisen, den Beschwerdeführerinnen den Restbetrag von Fr. 500.-- zurückzuerstatten.</w:t>
      </w:r>
    </w:p>
    <w:p>
      <w:r>
        <w:t>- 13 -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