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RR.2010.88 vom 17. Juni 2010</w:t>
      </w:r>
    </w:p>
    <w:p>
      <w:r>
        <w:t>Bundesstrafgericht, 2010-06-17, FR</w:t>
      </w:r>
    </w:p>
    <w:p>
      <w:r>
        <w:rPr>
          <w:b/>
        </w:rPr>
        <w:t xml:space="preserve">Quelle: </w:t>
      </w:r>
      <w:r>
        <w:t>https://mcp.opencaselaw.ch/entscheid/bstger_RR.2010.88</w:t>
      </w:r>
    </w:p>
    <w:p>
      <w:r>
        <w:t>FR: TPF RR.2010.88 du 17 juin 2010</w:t>
      </w:r>
    </w:p>
    <w:p>
      <w:r>
        <w:t>IT: TPF RR.2010.88 del 17 giugno 2010</w:t>
      </w:r>
    </w:p>
    <w:p>
      <w:pPr>
        <w:pStyle w:val="Heading2"/>
      </w:pPr>
      <w:r>
        <w:t>Regeste</w:t>
      </w:r>
    </w:p>
    <w:p>
      <w:r>
        <w:t>Extradition à l'Italie. Requête de mise en liberté provisoire (art. 47 ss EIMP). Retrait de la demande d'extradition. Sort des frais et dépens (art. 72 et 73 PCF).</w:t>
      </w:r>
    </w:p>
    <w:p>
      <w:pPr>
        <w:pStyle w:val="Heading2"/>
      </w:pPr>
      <w:r>
        <w:t>Erwägungen</w:t>
      </w:r>
    </w:p>
    <w:p>
      <w:r>
        <w:rPr>
          <w:b/>
        </w:rPr>
        <w:t>E. 7</w:t>
      </w:r>
    </w:p>
    <w:p>
      <w:r>
        <w:t>avril 2010, consid. 2 et la jurisprudence citée), la mise en liberté provisoire étant au demeurant soumise à des exigences plus strictes en matière de dé- tention extraditionnelle que de détention préventive (arrêt du Tribunal pénal fédéral RR.2009.361 du 21 janvier 2010, consid. 2.1 et la jurisprudence citée);</w:t>
      </w:r>
    </w:p>
    <w:p>
      <w:r>
        <w:t>aux termes des art. 47ss EIMP, il peut notamment être renoncé à la détention s’il apparaît que la personne poursuivie ne se soustraira pas à l’extradition et n’entravera pas l’instruction (art. 47 al. 1 let. a), si elle a un alibi (art. 47 al. 1 let. b), si elle ne peut pas subir l’incarcération, si la demande d’extradition et ses annexes ne sont pas fournies à temps (art. 50 al. 1 EIMP) ou encore si l’extradition est manifestement inadmissible (arrêt du Tribunal pénal fédéral RR.2008.296 du 17 décembre 2008, consid. 2.1 et la jurisprudence citée);</w:t>
      </w:r>
    </w:p>
    <w:p>
      <w:r>
        <w:t>en soi, ni la durée du séjour du détenu en Suisse, ni son âge, ni les investis- sements récemment consentis par lui ou les difficultés financières dans les- quelles se retrouverait sa famille ne sont à eux seuls des raisons de nature à exclure tout risque de fuite (voir à ce sujet la jurisprudence extensive citée dans l’arrêt du Tribunal pénal fédéral RR.2009.308 du 19 octobre 2009, consid. 7.2);</w:t>
      </w:r>
    </w:p>
    <w:p>
      <w:r>
        <w:t>en l’espèce, le recourant, âgé de 59 ans, affirme être domicilié à Genève de- puis 43 ans, où habitent sa femme, ses trois enfants majeurs et ses trois pe- tits-enfants; il indique animer la société B. pour laquelle il est le seul à pouvoir assurer la promotion commerciale, notamment au travers de contacts person- nels qu’il entretient avec sa clientèle; cette activité serait sur le point de dé- marrer après plusieurs années de recherches et d’investissements et l’obtention des autorisations administratives pour commercialiser ses produits; il indique enfin souffrir d’une polyarthrite rhumatismale qui ne pourrait être soi- gnée en prison du fait de la surpopulation carcérale; il offrait de verser une caution de CHF 5'000.-, de déposer ses papiers d’identité et de se présenter régulièrement à un poste de police pour assurer sa mise en liberté;</w:t>
      </w:r>
    </w:p>
    <w:p>
      <w:r>
        <w:t>l’accusation de banqueroute frauduleuse portée à l’encontre du recourant peut se solder, indépendamment des autres accusations, par une peine privative de liberté de trois à dix ans (art. 216 du Code pénal italien);</w:t>
      </w:r>
    </w:p>
    <w:p>
      <w:r>
        <w:t>le recourant étant de nationalité française et le passage de la frontière fran- çaise étant fort aisé depuis Genève, tout risque de fuite n’aurait pu être écarté, nonobstant l’âge avancé du recourant et son attachement certain à la région;</w:t>
      </w:r>
    </w:p>
    <w:p>
      <w:r>
        <w:t>- 5 -</w:t>
      </w:r>
    </w:p>
    <w:p>
      <w:r>
        <w:t>les mesures de substitution proposées, en particulier la caution à hauteur de CHF 5'000.-, n’auraient pas paru de nature à dissuader la fuite, compte tenu de la forte peine encourue;</w:t>
      </w:r>
    </w:p>
    <w:p>
      <w:r>
        <w:t>cette somme semblait en outre largement inférieure aux montants investis par le recourant dans sa société que sa détention lui faisait craindre de perdre;</w:t>
      </w:r>
    </w:p>
    <w:p>
      <w:r>
        <w:t>au vu du dossier tel qu’il était avant le fait qui a mis fin au litige (art. 72 PCF), à savoir le retrait de la demande italienne, il ne peut être soutenu à première vue que le recours aurait dû être admis;</w:t>
      </w:r>
    </w:p>
    <w:p>
      <w:r>
        <w:t>le retrait de la requête italienne est par ailleurs intervenu indépendamment du dépôt du recours;</w:t>
      </w:r>
    </w:p>
    <w:p>
      <w:r>
        <w:t>le recourant devant ainsi être considéré comme la partie qui succombe, des frais à hauteur de CHF 500.-- seront mis à sa charge (art. 63 PA);</w:t>
      </w:r>
    </w:p>
    <w:p>
      <w:r>
        <w:t>la partie qui succombe n’a pas droit à une indemnité pour les frais qui lui ont été occasionnés (art. 64 al. 1 PA a contrario);</w:t>
      </w:r>
    </w:p>
    <w:p>
      <w:r>
        <w:t>cela étant, et bien que la Cour n’est pas liée par les conclusions des parties (art. 25 al. 6 EIMP), la transaction passée entre les parties devant le juge ou remise au juge pour être consignée au procès-verbal, de même que le désis- tement d’une partie, mettent fin au procès (art. 73 al. 1 PCF);</w:t>
      </w:r>
    </w:p>
    <w:p>
      <w:r>
        <w:t>l’échange d’écriture des parties (act. 8 et 9) peut être assimilé à une transac- tion judiciaire sur le dernier objet pendant, à savoir les dépens;</w:t>
      </w:r>
    </w:p>
    <w:p>
      <w:r>
        <w:t>il y a ainsi lieu de prendre acte de l’indemnisation accordée par l’OFJ au re- courant à hauteur de CHF 1'500.-- (TVA comprise).</w:t>
      </w:r>
    </w:p>
    <w:p>
      <w:r>
        <w:t>- 6 -</w:t>
      </w:r>
    </w:p>
    <w:p>
      <w:r>
        <w:t>Par ces motifs, la IIe Cour des plaintes prononce:</w:t>
      </w:r>
    </w:p>
    <w:p>
      <w:r>
        <w:t>1. Vu le retrait du recours, la cause est rayée du rôle.</w:t>
      </w:r>
    </w:p>
    <w:p>
      <w:r>
        <w:t>2. Un émolument de CHF 500.-- est mis à la charge du recourant.</w:t>
      </w:r>
    </w:p>
    <w:p>
      <w:r>
        <w:t>3. La Cour prend acte du versement au recourant d’une indemnité de CHF 1'500.-- (TVA comprise) par l’Office fédéral de la justice, à titre de dé- pens.</w:t>
      </w:r>
    </w:p>
    <w:p>
      <w:r>
        <w:t>Bellinzone, le 17 juin 2010</w:t>
      </w:r>
    </w:p>
    <w:p>
      <w:r>
        <w:t>Au nom de la IIe Cour des plaintes du Tribunal pénal fédéral</w:t>
      </w:r>
    </w:p>
    <w:p>
      <w:r>
        <w:t>La présidente: Le greffier:</w:t>
      </w:r>
    </w:p>
    <w:p>
      <w:r>
        <w:t>Distribution</w:t>
      </w:r>
    </w:p>
    <w:p>
      <w:r>
        <w:t>- Me Jean-Marie Crettaz, avocat - Office fédéral de la justice, Unité extraditions</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