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RR.2010.68 vom 23. Dezember 2010</w:t>
      </w:r>
    </w:p>
    <w:p>
      <w:r>
        <w:t>Bundesstrafgericht, 2010-12-23, DE</w:t>
      </w:r>
    </w:p>
    <w:p>
      <w:r>
        <w:rPr>
          <w:b/>
        </w:rPr>
        <w:t xml:space="preserve">Quelle: </w:t>
      </w:r>
      <w:r>
        <w:t>https://mcp.opencaselaw.ch/entscheid/bstger_RR.2010.68</w:t>
      </w:r>
    </w:p>
    <w:p>
      <w:r>
        <w:t>FR: TPF RR.2010.68 du 23 décembre 2010</w:t>
      </w:r>
    </w:p>
    <w:p>
      <w:r>
        <w:t>IT: TPF RR.2010.68 del 23 dicembre 2010</w:t>
      </w:r>
    </w:p>
    <w:p>
      <w:pPr>
        <w:pStyle w:val="Heading2"/>
      </w:pPr>
      <w:r>
        <w:t>Regeste</w:t>
      </w:r>
    </w:p>
    <w:p>
      <w:r>
        <w:t>Internationale Rechtshilfe in Strafsachen für die USA. Herausgabe von Vermögenswerten (Art. 74a IRSG). Gesuch um unentgeltliche Rechtspflege (Art. 65 Abs. 1 und 2 VwVG).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Bei diesem Ausgang des Verfahrens wird der Beschwerdeführer kosten- pflichtig (Art. 63 Abs. 1 VwVG i.V.m. Art. 30 lit. b SGG). Für die Berech- nung der Gerichtsgebühren gelangt gemäss Art. 63 Abs. 5 VwVG das Reg- lement vom 11. Februar 2004 über die Gerichtsgebühren vor dem Bundes- strafgericht (SR 173.711.32) zur Anwendung. Der womöglich schwierigen wirtschaftlichen Situation, in welcher sich der Beschwerdeführer schon auf- grund seiner Inhaftierung befindet, kann mittels einer reduzierten Gerichts- gebühr Rechnung getragen werden. Die Gerichtsgebühr ist daher auf Fr. 1’500.-- festzusetzen.</w:t>
      </w:r>
    </w:p>
    <w:p>
      <w:r>
        <w:t>- 11 -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