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RR.2010.62 vom 7. Juli 2010</w:t>
      </w:r>
    </w:p>
    <w:p>
      <w:r>
        <w:t>Bundesstrafgericht, 2010-07-07, DE</w:t>
      </w:r>
    </w:p>
    <w:p>
      <w:r>
        <w:rPr>
          <w:b/>
        </w:rPr>
        <w:t xml:space="preserve">Quelle: </w:t>
      </w:r>
      <w:r>
        <w:t>https://mcp.opencaselaw.ch/entscheid/bstger_RR.2010.62</w:t>
      </w:r>
    </w:p>
    <w:p>
      <w:r>
        <w:t>FR: TPF RR.2010.62 du 7 juillet 2010</w:t>
      </w:r>
    </w:p>
    <w:p>
      <w:r>
        <w:t>IT: TPF RR.2010.62 del 7 luglio 2010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 Vermögenssperre (Art. 33a IRSV).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April 2010 zur Replik einlud (act. 8), diese innert erstreckter Frist am 19. Mai 2010 den Rückzug ihrer Beschwerde erklärte (act. 10);</w:t>
      </w:r>
    </w:p>
    <w:p>
      <w:r>
        <w:t>- 3 -</w:t>
      </w:r>
    </w:p>
    <w:p>
      <w:r>
        <w:t>- das Beschwerdeverfahren daher zufolge Rückzugs der Beschwerde als er- ledigt abzuschreiben ist;</w:t>
      </w:r>
    </w:p>
    <w:p>
      <w:r>
        <w:t>- der Beschwerdeführer, der seine Beschwerde zurückzieht, grundsätzlich als unterliegende Partei zu gelten und folglich gemäss Art. 63 Abs. 1 VwVG i.V.m. Art. 30 lit. b SGG die Gerichtskosten zu tragen hat (Entscheide des Bundesstrafgerichts RR.2008.253 vom 27. Oktober 2008; RR.2007.70 vom</w:t>
      </w:r>
    </w:p>
    <w:p>
      <w:r>
        <w:rPr>
          <w:b/>
        </w:rPr>
        <w:t>E. 30</w:t>
      </w:r>
    </w:p>
    <w:p>
      <w:r>
        <w:t>Mai 2007; RR.2007.4 vom 6. März 2007, je m.w.H.); die Gerichtsgebühr vorliegend auf Fr. 500.-- anzusetzen ist (vgl. Art. 3 des Reglements vom 11. Februar 2004 über die Gerichtsgebühren vor dem Bundesstrafgericht, SR 173.711.32), unter Anrechnung des geleisteten Kostenvorschusses in der Höhe von Fr. 3'000.--, und die Bundesstrafgerichtskasse angewiesen wird, der Beschwerdeführerin den Restbetrag von Fr. 2'500.-- zurückzuer- statten.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