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RR.2010.44 vom 29. März 2010</w:t>
      </w:r>
    </w:p>
    <w:p>
      <w:r>
        <w:t>Bundesstrafgericht, 2010-03-29, DE</w:t>
      </w:r>
    </w:p>
    <w:p>
      <w:r>
        <w:rPr>
          <w:b/>
        </w:rPr>
        <w:t xml:space="preserve">Quelle: </w:t>
      </w:r>
      <w:r>
        <w:t>https://mcp.opencaselaw.ch/entscheid/bstger_RR.2010.44</w:t>
      </w:r>
    </w:p>
    <w:p>
      <w:r>
        <w:t>FR: TPF RR.2010.44 du 29 mars 2010</w:t>
      </w:r>
    </w:p>
    <w:p>
      <w:r>
        <w:t>IT: TPF RR.2010.44 del 29 marzo 2010</w:t>
      </w:r>
    </w:p>
    <w:p>
      <w:pPr>
        <w:pStyle w:val="Heading2"/>
      </w:pPr>
      <w:r>
        <w:t>Regeste</w:t>
      </w:r>
    </w:p>
    <w:p>
      <w:r>
        <w:t>Auslieferung an Deutschland. Auslieferungshaftbefehl (Art. 47 IRSG).</w:t>
      </w:r>
    </w:p>
    <w:p>
      <w:pPr>
        <w:pStyle w:val="Heading2"/>
      </w:pPr>
      <w:r>
        <w:t>Erwägungen</w:t>
      </w:r>
    </w:p>
    <w:p>
      <w:r>
        <w:rPr>
          <w:b/>
        </w:rPr>
        <w:t>E. 14</w:t>
      </w:r>
    </w:p>
    <w:p>
      <w:r>
        <w:t>Februar 2008 und 18. Dezember 2008) zur Last gelegten Straftaten (RR.2009.279, act. 6.8 und 6.9). Mit Schreiben vom 19. März 2009 teilte das Bundesamt den deutschen Behörden mit, dass eine Auslieferung nur für die Tatvorwürfe 12, 19 und 20 (Umsatzsteuerdelikte) des fraglichen Haftbefehls in Frage käme. Gleichzeitig ersuchte es die deutschen Behör- den in Bezug auf diese Tatvorwürfe um ergänzende Angaben (RR.2009.279, act. 6.10), welche die Justizbehörde Hamburg mit Schrei- ben vom 13. Mai 2009 übermittelte (RR.2009.279, act. 6.11). Das Bundes- amt verzichtete in der Folge auf die nochmalige Verhaftung von A. Anläss- lich seiner Einvernahme vom 16. Juni 2009 erklärte A. erneut, sich der ver- einfachten Auslieferung an Deutschland zu widersetzen (RR.2009.279, act. 6.14).</w:t>
      </w:r>
    </w:p>
    <w:p>
      <w:r>
        <w:t>- 3 -</w:t>
      </w:r>
    </w:p>
    <w:p>
      <w:r>
        <w:t>C. Am 23. Juli 2009 erliess das Bundesamt einen Auslieferungsentscheid und bewilligte die Auslieferung von A. an Deutschland für die Tatvorwürfe 12,</w:t>
      </w:r>
    </w:p>
    <w:p>
      <w:r>
        <w:rPr>
          <w:b/>
        </w:rPr>
        <w:t>E. 19</w:t>
      </w:r>
    </w:p>
    <w:p>
      <w:r>
        <w:t>Oktober 2009, E. 7.3). Unter diesem Gesichtspunkt betrachtet erscheint die Fluchtmöglichkeit als leicht reduziert, auch wenn ihn sein Alter bei sei- ner zweimaligen Einreise im selben Jahr in die Schweiz offensichtlich nicht eingeschränkt hat. Seine gesundheitlichen Probleme weisen zudem nicht jene Schwere auf, welche seine Fluchtmöglichkeiten bedeutsam zu ver- mindern vermöchten. Nach dem Gesagten ist nicht anzunehmen, dass die geltend gemachten Bindungen zur Schweiz sowie die vorgebrachten Um- stände den Beschwerdeführer davon abzuhalten vermögen, sich im Falle einer Haftentlassung ins Ausland abzusetzen. Im Lichte dieser Erwägun- gen ist demnach von einer hohen Fluchtgefahr auszugehen.</w:t>
      </w:r>
    </w:p>
    <w:p>
      <w:r>
        <w:t>5.4 Nachfolgend ist zu prüfen, ob die hohe Fluchtgefahr durch die vom Be- schwerdeführer vorgeschlagenen Ersatzmassnahmen gebannt werden kann. In diesem Zusammenhang nennt dieser die Einziehung der Reisedo- kumente, die Verpflichtung, sich regelmässig bei einer Polizeidienststelle zu melden, die Bezahlung einer Kaution sowie das „electronic monitoring“ (act. 1 S. 3).</w:t>
      </w:r>
    </w:p>
    <w:p>
      <w:r>
        <w:t>Die Einziehung der Reisedokumente des Beschwerdeführers schränkt des- sen Fluchtmöglichkeit nicht ein. Als deutscher Staatsbürger kann sich die- ser ohne Weiteres Ersatzdokumente bei den entsprechenden ausländi- schen Behörde beschaffen (s. hierzu auch Entscheid des Bundesstrafge- richts RR.2007.174 vom 27. November 2007). Im Übrigen ist der Grenz- übertritt auf dem Landweg nicht nur seit dem vollständigen Abbau der Grenzkontrollen mit dem Schengener Übereinkommen problemlos auch ohne Reisedokumente möglich. Angesichts des Umstandes, dass der Be- schwerdeführer von seinem Wohnort aus innerhalb weniger als einer Stun- de das Land verlassen kann, ist auch eine regelmässige Meldepflicht bei der Polizei nicht geeignet, eine Flucht wirkungsvoll zu verhindern. Mit den vorgenannten Ersatzmassnahmen alleine wird demnach die hohe Fluchtge- fahr nicht gebannt.</w:t>
      </w:r>
    </w:p>
    <w:p>
      <w:r>
        <w:t>Als weitere Ersatzmassnahme zur Auslieferungshaft schlägt der Be- schwerdeführer die Bezahlung einer Kaution sowie das „electronic monito- ring“ vor (act. 1 S. 3). Die Beschwerdegegnerin hat die Möglichkeit einer</w:t>
      </w:r>
    </w:p>
    <w:p>
      <w:r>
        <w:t>- 9 -</w:t>
      </w:r>
    </w:p>
    <w:p>
      <w:r>
        <w:t>Haftentlassung auf Kaution hin verworfen und mit Bezug auf einen konkre- ten Fall (Urteile des Bundesgerichts 8G.66/2000 vom 5. Dezember 2000 und 1A.30/2001 vom 2. April 2001) darauf hingewiesen, dass selbst eine relativ hohe Kaution erfahrungsgemäss kaum eine Flucht verhindern könne (act. 5 S. 4). Wie es sich diesbezüglich verhält, muss vorliegend offen ge- lassen werden. Der Beschwerdeführer bietet weder eine konkrete Kaution an, noch legt er seine finanziellen Verhältnisse offen. Es erübrigen sich deshalb weitere Ausführungen zur Frage, welche Kautionshöhe grundsätz- lich als ausreichend zu erachten gewesen wäre, um die hohe Fluchtgefahr zu bannen. Was den Antrag des Beschwerdeführers auf elektronisch über- wachten Hausarrest anbelangt, so bannt diese Ersatzmassnahme ver- gleichbar der Meldepflicht für sich allein die hohe Fluchtgefahr nicht in aus- reichendem Masse (so ausdrücklich Entscheid des Bundesstrafgerichts RR.2009.329 vom 24. November 2009, E. 6.4.2 [zur Publikation vorgese- hen]). Da der Beschwerdeführer keine konkrete Kaution als zusätzliche Massnahme angeboten hat, kann nicht beurteilt werden, ob diese Kaution in Kombination mit dem elektronisch überwachten Hausarrest die hohe Fluchtgefahr nach menschlichem Ermessen zu bannen vermöchte.</w:t>
      </w:r>
    </w:p>
    <w:p>
      <w:r>
        <w:t>5.5 Nach dem Gesagten ist die Beschwerde gesamthaft als unbegründet ab- zuweisen.</w:t>
      </w:r>
    </w:p>
    <w:p>
      <w:r>
        <w:t>6. Bei diesem Ausgang des Verfahrens wird der Beschwerdeführer kosten- pflichtig (Art. 63 Abs. 1 VwVG i.V.m. Art. 30 lit. b SGG). Für die Berech- nung der Gerichtsgebühren gelangt das Reglement vom 11. Februar 2004 über die Gerichtsgebühren vor dem Bundesstrafgericht (SR 173.711.32) zur Anwendung (Art. 63 Abs. 5 VwVG i.V.m. Art. 15 Abs. 1 lit. a SGG). Die Gerichtsgebühr ist vorliegend auf Fr. 3'000.00 festzusetzen (vgl. Art. 3 des Reglements).</w:t>
      </w:r>
    </w:p>
    <w:p>
      <w:r>
        <w:t>- 10 -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