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RR.2010.33 vom 17. März 2010</w:t>
      </w:r>
    </w:p>
    <w:p>
      <w:r>
        <w:t>Bundesstrafgericht, 2010-03-17, DE</w:t>
      </w:r>
    </w:p>
    <w:p>
      <w:r>
        <w:rPr>
          <w:b/>
        </w:rPr>
        <w:t xml:space="preserve">Quelle: </w:t>
      </w:r>
      <w:r>
        <w:t>https://mcp.opencaselaw.ch/entscheid/bstger_RR.2010.33</w:t>
      </w:r>
    </w:p>
    <w:p>
      <w:r>
        <w:t>FR: TPF RR.2010.33 du 17 mars 2010</w:t>
      </w:r>
    </w:p>
    <w:p>
      <w:r>
        <w:t>IT: TPF RR.2010.33 del 17 marzo 2010</w:t>
      </w:r>
    </w:p>
    <w:p>
      <w:pPr>
        <w:pStyle w:val="Heading2"/>
      </w:pPr>
      <w:r>
        <w:t>Regeste</w:t>
      </w:r>
    </w:p>
    <w:p>
      <w:r>
        <w:t>Internationale Rechtshilfe in Strafsachen an Deutschland. Vorsorgliche Kontosperre (Art. 18 IRSG). Verspäteter Eingang Kostenvorschuss.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Februar 2004 über die Gerichtsgebühren vor dem Bundesstrafgericht (SR 173.711.32) zur Anwendung gelangt; die Gerichtsgebühr unter solida- rischer Haftung auf insgesamt Fr. 500.00 festzusetzen ist (Art. 3 des Reg- lements), unter Anrechnung des geleisteten Kostenvorschusses von Fr. 5'000.00; die Bundesstrafgerichtskasse anzuweisen ist, den Beschwer- deführern den Restbetrag von insgesamt Fr. 4'500.00 zurückzuerstatten;</w:t>
      </w:r>
    </w:p>
    <w:p>
      <w:r>
        <w:t>- die Staatsanwaltschaft Würzburg schliesslich am 4. März 2009 [recte 2010] mitgeteilt hat, kein formelles Rechtshilfeersuchen einzureichen (act. 6.1), woraufhin die Staatsanwaltschaft Zürich die verfügte vorsorgliche Vermö- genssperre am 8. März 2010 unverzüglich hat aufheben lassen (act. 6, 6.2).</w:t>
      </w:r>
    </w:p>
    <w:p>
      <w:r>
        <w:t>- 4 -</w:t>
      </w:r>
    </w:p>
    <w:p>
      <w:r>
        <w:t>Demnach erkennt die II.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