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RR.2010.280 vom 20. Januar 2011</w:t>
      </w:r>
    </w:p>
    <w:p>
      <w:r>
        <w:t>Bundesstrafgericht, 2011-01-20, DE</w:t>
      </w:r>
    </w:p>
    <w:p>
      <w:r>
        <w:rPr>
          <w:b/>
        </w:rPr>
        <w:t xml:space="preserve">Quelle: </w:t>
      </w:r>
      <w:r>
        <w:t>https://mcp.opencaselaw.ch/entscheid/bstger_RR.2010.280</w:t>
      </w:r>
    </w:p>
    <w:p>
      <w:r>
        <w:t>FR: TPF RR.2010.280 du 20 janvier 2011</w:t>
      </w:r>
    </w:p>
    <w:p>
      <w:r>
        <w:t>IT: TPF RR.2010.280 del 20 gennaio 2011</w:t>
      </w:r>
    </w:p>
    <w:p>
      <w:pPr>
        <w:pStyle w:val="Heading2"/>
      </w:pPr>
      <w:r>
        <w:t>Regeste</w:t>
      </w:r>
    </w:p>
    <w:p>
      <w:r>
        <w:t>Internationale Rechtshilfe in Strafsachen an das Fürstentum Liechtenstein. Herausgabe von Beweismitteln (Art. 74 IRSG). Kostenvorschuss (Art. 39 Abs. 2 lit. b StBOG i.V.m. Art. 63 Abs. 4 VwVG). Verbesserung der Beschwerdeschrift (Art. 39 Abs. 2 lit. b StBOG i.V.m. Art. 53 Abs. 3 VwVG).</w:t>
      </w:r>
    </w:p>
    <w:p>
      <w:pPr>
        <w:pStyle w:val="Heading2"/>
      </w:pPr>
      <w:r>
        <w:t>Erwägungen</w:t>
      </w:r>
    </w:p>
    <w:p>
      <w:r>
        <w:rPr>
          <w:b/>
        </w:rPr>
        <w:t>E. 13</w:t>
      </w:r>
    </w:p>
    <w:p>
      <w:r>
        <w:t>Dezember 2010 einen Kostenvorschuss von CHF 4'000.-- zu leisten und darauf aufmerksam gemacht wurde, dass bei Säumnis auf die Be- schwerde nicht eingetreten wird (act. 3);</w:t>
      </w:r>
    </w:p>
    <w:p>
      <w:r>
        <w:t>- der Beschwerdeführer ausserdem mit dem gleichen Schreiben aufgefordert wurde, die Beschwerdeschrift bis zum 13. Dezember 2010 zu verbessern, damit sie in Bezug auf Inhalt und Form den Anforderungen des Art. 52 VwVG genügt, und darauf hingewiesen wurde, dass bei unbenütztem Ab- lauf der Frist aufgrund der Akten entschieden oder, wenn Begehren, Be- gründung oder Unterschrift in der verbesserten Beschwerdeschrift fehlen, auf die Beschwerde nicht eingetreten werde;</w:t>
      </w:r>
    </w:p>
    <w:p>
      <w:r>
        <w:t>- 3 -</w:t>
      </w:r>
    </w:p>
    <w:p>
      <w:r>
        <w:t>- die Frist zur Bezahlung des Kostenvorschusses gewährt ist, wenn der Be- trag rechtzeitig zu Gunsten der Behörde der schweizerischen Post überge- ben oder einem Post- oder Bankkonto in der Schweiz belastet worden ist (Art. 39 Abs. 2 lit. b StBOG i.V.m. Art. 21 Abs. 3 VwVG), und die Rechtzei- tigkeit im Zweifelsfall vom Pflichtigen zu beweisen ist;</w:t>
      </w:r>
    </w:p>
    <w:p>
      <w:r>
        <w:t>- der Beschwerdeführer den ihm auferlegten Kostenvorschuss nicht bezahlte und weder um Zahlungserleichterung noch um die Gewährung der unent- geltlichen Rechtspflege ersuchte;</w:t>
      </w:r>
    </w:p>
    <w:p>
      <w:r>
        <w:t>- der Beschwerdeführer zudem auch der Aufforderung, seine Beschwerde zu verbessern, nicht nachgekommen ist;</w:t>
      </w:r>
    </w:p>
    <w:p>
      <w:r>
        <w:t>- auf die Beschwerdeschrift daher androhungsgemäss nicht einzutreten ist (Art. 39 Abs. 2 lit. d StBOG i.V.m. Art. 63 Abs. 4 VwVG und Art. 53 Abs. 3 VwVG);</w:t>
      </w:r>
    </w:p>
    <w:p>
      <w:r>
        <w:t>- der Beschwerdeführer bei diesem Ausgang des Verfahrens kostenpflichtig wird (Art. 39 Abs. 2 lit. d StBOG i.V.m. Art. 63 Abs. 1 VwVG); für die Be- rechnung der Gerichtsgebühren das Reglement vom 31. August 2010 des Bundesstrafgerichts über die Kosten, Gebühren und Entschädigungen in Bundesstrafverfahren (BStKR; SR 173.713.162) zur Anwendung gelangt (Art. 63 Abs. 5 VwVG i.V.m. Art. 53 Abs. 2 lit. a StBOG und Art. 22 Abs. 3 BStKR); die Gerichtsgebühr vorliegend auf Fr. 300.-- anzusetzen ist.</w:t>
      </w:r>
    </w:p>
    <w:p>
      <w:r>
        <w:t>- 4 -</w:t>
      </w:r>
    </w:p>
    <w:p>
      <w:r>
        <w:t>Demnach erkennt die II.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