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RR.2010.275 vom 16. Dezember 2010</w:t>
      </w:r>
    </w:p>
    <w:p>
      <w:r>
        <w:t>Bundesstrafgericht, 2010-12-16, FR</w:t>
      </w:r>
    </w:p>
    <w:p>
      <w:r>
        <w:rPr>
          <w:b/>
        </w:rPr>
        <w:t xml:space="preserve">Quelle: </w:t>
      </w:r>
      <w:r>
        <w:t>https://mcp.opencaselaw.ch/entscheid/bstger_RR.2010.275</w:t>
      </w:r>
    </w:p>
    <w:p>
      <w:r>
        <w:t>FR: TPF RR.2010.275 du 16 décembre 2010</w:t>
      </w:r>
    </w:p>
    <w:p>
      <w:r>
        <w:t>IT: TPF RR.2010.275 del 16 dicembre 2010</w:t>
      </w:r>
    </w:p>
    <w:p>
      <w:pPr>
        <w:pStyle w:val="Heading2"/>
      </w:pPr>
      <w:r>
        <w:t>Regeste</w:t>
      </w:r>
    </w:p>
    <w:p>
      <w:r>
        <w:t>Entraide judiciaire internationale en matière pénale au Portugal. Remise de moyens de preuve (art. 74 EIMP). Qualité pour recourir de l'ayant droit d'une société dissoute.</w:t>
      </w:r>
    </w:p>
    <w:p>
      <w:pPr>
        <w:pStyle w:val="Heading2"/>
      </w:pPr>
      <w:r>
        <w:t>Erwägungen</w:t>
      </w:r>
    </w:p>
    <w:p>
      <w:r>
        <w:rPr>
          <w:b/>
        </w:rPr>
        <w:t>E. 20</w:t>
      </w:r>
    </w:p>
    <w:p>
      <w:r>
        <w:t>juin 2006 (RS 173.710), la IIe Cour des plaintes du Tribunal pénal fédé- ral est compétente pour connaître des recours dirigés contre les décisions de clôture de la procédure d’entraide rendues par l’autorité cantonale d’exécution;</w:t>
      </w:r>
    </w:p>
    <w:p>
      <w:r>
        <w:t>l'entraide judiciaire entre le Portugal et la Confédération suisse est régie en premier lieu par la Convention européenne d’entraide judiciaire en matière pénale (CEEJ; 0.351.1), entrée en vigueur pour la Suisse le 20 mars 1967 et pour le Portugal le 26 décembre 1994 et par le Deuxième Protocole ad- ditionnel à la CEEJ (RS 0.351.12), entré en vigueur pour la Suisse le 1er fé- vrier 2005 et pour le Portugal le 1er mai 2007;</w:t>
      </w:r>
    </w:p>
    <w:p>
      <w:r>
        <w:t>- 3 -</w:t>
      </w:r>
    </w:p>
    <w:p>
      <w:r>
        <w:t>à compter du 12 décembre 2008, les art. 48 ss de la Convention d’application de l’Accord Schengen du 14 juin 1985 (CAAS; n° CELEX 42000A0922(02); Journal officiel de l’Union européenne L 239 du 22 sep- tembre 2000, p. 19 à 62) s’appliquent également à l’entraide pénale entre la Suisse et le Portugal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128 II 355 consid. 1 et la jurispru- dence citée);</w:t>
      </w:r>
    </w:p>
    <w:p>
      <w:r>
        <w:t>le droit interne s'applique en outre lorsqu'il est plus favorable à l'octroi de l’entraide (ATF 122 II 140 consid. 2 et les arrêts cités); le respect des droits fondamentaux demeure réservé (ATF 135 IV 212 consid. 2.3);</w:t>
      </w:r>
    </w:p>
    <w:p>
      <w:r>
        <w:t>aux termes de l’art. 80h let. b EIMP, a qualité pour recourir en matière de «petite entraide» quiconque est personnellement et directement touché par une mesure d’entraide et a un intérêt digne de protection à ce qu’elle soit annulée ou modifiée;</w:t>
      </w:r>
    </w:p>
    <w:p>
      <w:r>
        <w:t>l’art. 9a let. a OEIMP reconnaît au titulaire d’un compte bancaire la qualité pour recourir contre la remise à l’Etat requérant de documents relatifs à ce compte;</w:t>
      </w:r>
    </w:p>
    <w:p>
      <w:r>
        <w:t>le recourant affirme que la société C. a été liquidée et radiée du registre du commerce des Îles Cayman, après la fermeture du compte n° 1 dont elle était titulaire;</w:t>
      </w:r>
    </w:p>
    <w:p>
      <w:r>
        <w:t>en tant qu’ayant droit économique du compte n° 1, le recourant s’estime lé- gitimé à recourir contre la transmission des pièces concernant cette relation bancaire;</w:t>
      </w:r>
    </w:p>
    <w:p>
      <w:r>
        <w:t>sous réserve de l’abus de droit, l’ayant droit économique d’une personne morale a exceptionnellement qualité pour recourir lorsque cette personne morale apparaît dans les pièces comptables comme la seule titulaire du compte et qu’elle a été dissoute après l’ouverture du compte, de sorte qu’elle n’est plus capable d’agir (ATF 123 II 153 consid. 2);</w:t>
      </w:r>
    </w:p>
    <w:p>
      <w:r>
        <w:t>en pareille hypothèse, il appartient à l'ayant droit de prouver la liquidation, documents officiels à l'appui (arrêts du Tribunal fédéral 1A.212/2001 du 21 mars 2002, consid. 1.3.2; 1A.10/2000 du 18 mai 2000, consid. 1e;</w:t>
      </w:r>
    </w:p>
    <w:p>
      <w:r>
        <w:t>- 4 -</w:t>
      </w:r>
    </w:p>
    <w:p>
      <w:r>
        <w:t>1A.131/1999 du 26 août 1999, consid. 3 et 1A.236/1998 du 25 janvier 1999, consid. 1b/bb);</w:t>
      </w:r>
    </w:p>
    <w:p>
      <w:r>
        <w:t>la liquidation est abusive lorsqu'elle est intervenue, sans raison économi- que apparente, dans un délai proche de l'ouverture de l'action pénale dans l'Etat requérant (arrêt du Tribunal fédéral 1A.10/2000 du 18 mai 2000, consid. 2);</w:t>
      </w:r>
    </w:p>
    <w:p>
      <w:r>
        <w:t>il faut en outre que l'acte de dissolution indique clairement l'ayant droit comme son bénéficiaire (arrêts du Tribunal fédéral 1A.284/2003 du 11 fé- vrier 2004, consid. 1; 1A.212/2001 du 21 mars 2002, consid. 1.3.2; 1A.84/1999 du 31 mai 1999, consid. 2c);</w:t>
      </w:r>
    </w:p>
    <w:p>
      <w:r>
        <w:t>ces conditions doivent être remplies, sous peine d’irrecevabilité (arrêt du Tribunal fédéral 1A.284/2003 du 11 février 2004);</w:t>
      </w:r>
    </w:p>
    <w:p>
      <w:r>
        <w:t>la qualité pour recourir doit ainsi être déniée au recourant qui se borne à produire un extrait du registre du commerce de la société dissoute, sans fournir quelque indication que ce soit susceptible de déterminer qu’il a été habilité à disposer effectivement des comptes faisant l’objet de l’ordonnance querellée (arrêt du Tribunal pénal fédéral RR.2009.151-154 du 11 septembre 2009, consid. 1.3.2);</w:t>
      </w:r>
    </w:p>
    <w:p>
      <w:r>
        <w:t>en l’espèce, le recourant ne produit aucun document propre à déterminer le sort des avoirs de la société C., après son hypothétique liquidation;</w:t>
      </w:r>
    </w:p>
    <w:p>
      <w:r>
        <w:t>son recours doit ainsi être déclaré irrecevable;</w:t>
      </w:r>
    </w:p>
    <w:p>
      <w:r>
        <w:t>compte tenu de l’irrecevabilité manifeste du recours, il a été renoncé à pro- céder à un échange d’écritures (art. 57 al. 1 a contrario de la Loi fédérale du 20 décembre 1968 sur la procédure administrative [PA; RS 172.021], applicable par renvoi de l’art. 30 let. b LTPF);</w:t>
      </w:r>
    </w:p>
    <w:p>
      <w:r>
        <w:t>en tant que partie qui succombe, le recourant doit supporter les frais du présent arrêt (art. 63 al. 1 PA), lesquels sont fixés à CHF 2'000.-- (art. 3 du règlement du 11 février 2004 fixant les émoluments judiciaires perçus par le Tribunal pénal fédéral; RS 173.711.32 et art. 63 al. 5 PA), couverts par l’avance de frais de CHF 4'000.-- déjà versée;</w:t>
      </w:r>
    </w:p>
    <w:p>
      <w:r>
        <w:t>la caisse du Tribunal pénal fédéral restituera au recourant le solde de l’avance de frais, par CHF 2'000.--.</w:t>
      </w:r>
    </w:p>
    <w:p>
      <w:r>
        <w:t>- 5 -</w:t>
      </w:r>
    </w:p>
    <w:p>
      <w:r>
        <w:t>Par ces motifs, la IIe Cour des plaintes prononce:</w:t>
      </w:r>
    </w:p>
    <w:p>
      <w:r>
        <w:t>1. Le recours est irrecevable.</w:t>
      </w:r>
    </w:p>
    <w:p>
      <w:r>
        <w:t>2. Un émolument de CHF 2'000.—, couvert par l’avance de frais de CHF 4'000.— déjà versée, est mis à la charge du recourant. La caisse du Tribunal pénal fédéral restituera au recourant le solde par CHF 2'000.—.</w:t>
      </w:r>
    </w:p>
    <w:p>
      <w:r>
        <w:t>Bellinzone, le 17 décembre 2010</w:t>
      </w:r>
    </w:p>
    <w:p>
      <w:r>
        <w:t>Au nom de la IIe Cour des plaintes du Tribunal pénal fédéral</w:t>
      </w:r>
    </w:p>
    <w:p>
      <w:r>
        <w:t>La présidente:</w:t>
      </w:r>
    </w:p>
    <w:p>
      <w:r>
        <w:t>Le greffier:</w:t>
      </w:r>
    </w:p>
    <w:p>
      <w:r>
        <w:t>Distribution</w:t>
      </w:r>
    </w:p>
    <w:p>
      <w:r>
        <w:t>- Me Alexander Troller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