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RR.2010.253 vom 1. Dezember 2010</w:t>
      </w:r>
    </w:p>
    <w:p>
      <w:r>
        <w:t>Bundesstrafgericht, 2010-12-01, FR</w:t>
      </w:r>
    </w:p>
    <w:p>
      <w:r>
        <w:rPr>
          <w:b/>
        </w:rPr>
        <w:t xml:space="preserve">Quelle: </w:t>
      </w:r>
      <w:r>
        <w:t>https://mcp.opencaselaw.ch/entscheid/bstger_RR.2010.253</w:t>
      </w:r>
    </w:p>
    <w:p>
      <w:r>
        <w:t>FR: TPF RR.2010.253 du 1 décembre 2010</w:t>
      </w:r>
    </w:p>
    <w:p>
      <w:r>
        <w:t>IT: TPF RR.2010.253 del 1 dicembre 2010</w:t>
      </w:r>
    </w:p>
    <w:p>
      <w:pPr>
        <w:pStyle w:val="Heading2"/>
      </w:pPr>
      <w:r>
        <w:t>Regeste</w:t>
      </w:r>
    </w:p>
    <w:p>
      <w:r>
        <w:t>Entraide judiciaire internationale en matière pénale au Brésil. Transmission de moyens de preuve (art. 74 EIMP).</w:t>
      </w:r>
    </w:p>
    <w:p>
      <w:pPr>
        <w:pStyle w:val="Heading2"/>
      </w:pPr>
      <w:r>
        <w:t>Erwägungen</w:t>
      </w:r>
    </w:p>
    <w:p>
      <w:r>
        <w:rPr>
          <w:b/>
        </w:rPr>
        <w:t>E. 1</w:t>
      </w:r>
    </w:p>
    <w:p>
      <w:r>
        <w:t>En vertu de l’art. 28 al. 1 let. e ch. 1 de la loi sur le Tribunal pénal fédéral (LTPF; RS 173.71), mis en relation avec les art. 80e al. 1 de la loi fédérale sur l’entraide internationale en matière pénale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fédérale d’exécution.</w:t>
      </w:r>
    </w:p>
    <w:p>
      <w:r>
        <w:rPr>
          <w:b/>
        </w:rPr>
        <w:t>E. 1.3</w:t>
      </w:r>
    </w:p>
    <w:p>
      <w:r>
        <w:t>et arrêts cités; arrêt du Tribunal fédéral 1A.87/2004 du 3 juin 2004, consid. 2 et les arrêts cités).</w:t>
      </w:r>
    </w:p>
    <w:p>
      <w:r>
        <w:rPr>
          <w:b/>
        </w:rPr>
        <w:t>E. 2</w:t>
      </w:r>
    </w:p>
    <w:p>
      <w:r>
        <w:t>D’emblée, il y a lieu d’examiner la qualité pour agir du recourant.</w:t>
      </w:r>
    </w:p>
    <w:p>
      <w:r>
        <w:rPr>
          <w:b/>
        </w:rPr>
        <w:t>E. 2.1</w:t>
      </w:r>
    </w:p>
    <w:p>
      <w:r>
        <w:t>La qualité pour agir contre une mesure d’entraide est reconnue à celui qui est touché personnellement et directement par cette mesure et a un intérêt digne de protection à ce qu’elle soit annulée ou modifiée (art. 80h let. b EIMP). La personne visée par la procédure pénale étrangère peut recourir aux mêmes conditions (art. 21 al. 3 EIMP). L’art. 9a OEIMP précise qu’est en particulier réputé personnellement et directement touché, au sens des art. 21 al. 3 et 80h EIMP, en cas d’informations sur un compte bancaire, le titulaire du compte (let. a). La jurisprudence constante dénie en revanche cette qualité au détenteur économique d’un compte bancaire visé par la demande, à l’auteur de documents saisis en mains d’un tiers, même si la transmission des renseignements requis entraîne la révélation de son iden- tité, de même qu’au détenteur d’une procuration (TPF 2008 172, consid.</w:t>
      </w:r>
    </w:p>
    <w:p>
      <w:r>
        <w:rPr>
          <w:b/>
        </w:rPr>
        <w:t>E. 2.2</w:t>
      </w:r>
    </w:p>
    <w:p>
      <w:r>
        <w:t>En l’espèce, A. intervient, selon son conseil, en tant que titulaire (Inhaber) du compte n° 3 ouvert au nom de la société F. auprès de la banque E., à Lugano (act. 1, p. 2).</w:t>
      </w:r>
    </w:p>
    <w:p>
      <w:r>
        <w:rPr>
          <w:b/>
        </w:rPr>
        <w:t>E. 2.3</w:t>
      </w:r>
    </w:p>
    <w:p>
      <w:r>
        <w:t>Or, ainsi que le mentionne à juste titre la décision du 16 septembre 2010, seule la société F. apparaît comme titulaire dudit compte dans les docu- ments d’ouvertures versés au dossier du MPC. A. y figure, quant à lui, en tant qu’ayant droit économique du compte n° 3 ainsi que détenteur d’un pouvoir de représentation sur ce compte. A teneur de la jurisprudence pré- citée, ces deux titres ne sont pas suffisants pour fonder sa qualité pour agir. Partant, le recours est irrecevable.</w:t>
      </w:r>
    </w:p>
    <w:p>
      <w:r>
        <w:rPr>
          <w:b/>
        </w:rPr>
        <w:t>E. 2.4</w:t>
      </w:r>
    </w:p>
    <w:p>
      <w:r>
        <w:t>Vu ce qui précède, la Cour a renoncé à procéder à un échange d’écritures (art. 57 al. 1 de la loi fédérale sur la procédure administrative du 20 dé- cembre 1968 [PA; RS 172.021] a contrario, applicable par renvoi des art. 28 al. 1 let. e et 30 let. b LTPF, ainsi que 12 al. 1 EIMP).</w:t>
      </w:r>
    </w:p>
    <w:p>
      <w:r>
        <w:t>- 4 -</w:t>
      </w:r>
    </w:p>
    <w:p>
      <w:r>
        <w:rPr>
          <w:b/>
        </w:rPr>
        <w:t>E. 3</w:t>
      </w:r>
    </w:p>
    <w:p>
      <w:r>
        <w:t>Les frais de procédure sont mis à la charge du recourant qui succombe (art. 63 al. 1 PA). Conformément à l’art. 3 du règlement du 11 février 2004 fixant les émoluments judiciaires perçus par le Tribunal pénal fédéral (RS 173.711.32), l’émolument judiciaire est arrêté à CHF 2'000.--. Ce montant est couvert par l’avance de frais de CHF 4'000.-- versée par le recourant. Le solde de CHF 2'000.-- lui est restitué par la caisse du Tribunal pénal fé- déral.</w:t>
      </w:r>
    </w:p>
    <w:p>
      <w:r>
        <w:t>- 5 -</w:t>
      </w:r>
    </w:p>
    <w:p>
      <w:r>
        <w:t>Par ces motifs, la IIe Cour des plaintes prononce:</w:t>
      </w:r>
    </w:p>
    <w:p>
      <w:r>
        <w:t>1. Le recours est irrecevable.</w:t>
      </w:r>
    </w:p>
    <w:p>
      <w:r>
        <w:t>2. Un émolument de CHF 2'000.--, couvert par l’avance de frais acquittée, est mis à la charge du recourant. Le solde de CHF 2'000.-- lui est restitué par la caisse du Tribunal pénal fédéral.</w:t>
      </w:r>
    </w:p>
    <w:p>
      <w:r>
        <w:t>Bellinzone, le 6 décembre 2010</w:t>
      </w:r>
    </w:p>
    <w:p>
      <w:r>
        <w:t>Au nom de la IIe Cour des plaintes du Tribunal pénal fédéral</w:t>
      </w:r>
    </w:p>
    <w:p>
      <w:r>
        <w:t>La présidente: La greffière:</w:t>
      </w:r>
    </w:p>
    <w:p>
      <w:r>
        <w:t>Distribution</w:t>
      </w:r>
    </w:p>
    <w:p>
      <w:r>
        <w:t>- Mes Rolf Schuler et Adrian Häcki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