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RR.2010.243 vom 28. Juni 2011</w:t>
      </w:r>
    </w:p>
    <w:p>
      <w:r>
        <w:t>Bundesstrafgericht, 2011-06-28, DE</w:t>
      </w:r>
    </w:p>
    <w:p>
      <w:r>
        <w:rPr>
          <w:b/>
        </w:rPr>
        <w:t xml:space="preserve">Quelle: </w:t>
      </w:r>
      <w:r>
        <w:t>https://mcp.opencaselaw.ch/entscheid/bstger_RR.2010.243</w:t>
      </w:r>
    </w:p>
    <w:p>
      <w:r>
        <w:t>FR: TPF RR.2010.243 du 28 juin 2011</w:t>
      </w:r>
    </w:p>
    <w:p>
      <w:r>
        <w:t>IT: TPF RR.2010.243 del 28 giugno 2011</w:t>
      </w:r>
    </w:p>
    <w:p>
      <w:pPr>
        <w:pStyle w:val="Heading2"/>
      </w:pPr>
      <w:r>
        <w:t>Regeste</w:t>
      </w:r>
    </w:p>
    <w:p>
      <w:r>
        <w:t>Internationale Rechtshilfe in Strafsachen in Polen. Herausgabe von Beweismitteln (Art. 74 IRSG).</w:t>
      </w:r>
    </w:p>
    <w:p>
      <w:pPr>
        <w:pStyle w:val="Heading2"/>
      </w:pPr>
      <w:r>
        <w:t>Erwägungen</w:t>
      </w:r>
    </w:p>
    <w:p>
      <w:r>
        <w:rPr>
          <w:b/>
        </w:rPr>
        <w:t>E. 9</w:t>
      </w:r>
    </w:p>
    <w:p>
      <w:r>
        <w:t>Januar 2009 übermittelte (Verfahrensakten Urk. 1/4/11). A. erklärte am 26. Juni 2009, mit der vereinfachten Verfahrenserledigung im Sinne von Art. 80c IRSG nicht einverstanden zu sein (Verfahrensakten Urk. 1/4/13/1).</w:t>
      </w:r>
    </w:p>
    <w:p>
      <w:r>
        <w:t>D. Die Staatsanwaltschaft erliess am 17. September 2010 eine Schlussverfü- gung, mit der sie die Herausgabe von Bankunterlagen betreffend Konto- Nr. 1, lautend auf A., bei der Bank E. AG für den Zeitraum vom 21. Oktober 1998 bis und mit 13. November 2001, betreffend Konto-Nr. 2 lautend auf</w:t>
      </w:r>
    </w:p>
    <w:p>
      <w:r>
        <w:t>- 3 -</w:t>
      </w:r>
    </w:p>
    <w:p>
      <w:r>
        <w:t>A., bei der Bank E. für den Zeitraum vom 1. Juli 2003 bis und mit 1. Mai 2005, und betreffend Konto-Nr. 3, lautend auf F. Inc., bei der Bank E. AG für den Zeitraum vom 29. April 2005 bis und mit 30. Juni 2006, verfügte (Verfahrensakten Urk. 2/4/22/1).</w:t>
      </w:r>
    </w:p>
    <w:p>
      <w:r>
        <w:t>E. Gegen diese Verfügung erhob A. am 22. Oktober 2010 bei der II. Be- schwerdekammer des Bundesstrafgerichts Beschwerde, mit folgenden An- trägen (act. 1):</w:t>
      </w:r>
    </w:p>
    <w:p>
      <w:r>
        <w:t>„1. Es sei Ziff. 1 des Dispositivs der Schlussverfügung der Vorinstanz vom 17. Sep- tember 2010 aufzuheben und es seien das polnische Rechtshilfeersuchen vom</w:t>
      </w:r>
    </w:p>
    <w:p>
      <w:r>
        <w:rPr>
          <w:b/>
        </w:rPr>
        <w:t>E. 11</w:t>
      </w:r>
    </w:p>
    <w:p>
      <w:r>
        <w:t>April 2011 bestätigten Rechtsprechung fehlt es aber am Element der klaren Benennung des Beschwerdeführers als Begünstigten aus der aufge- lösten Gesellschaft. Daran ändert auch nichts, dass auf dem vom Be- schwerdeführer eingereichten Formular A der Bank E. AG der Beschwerde- führer als wirtschaftlicher Berechtigter aufgeführt ist (act. 1/27). Die Bank kann höchstens die wirtschaftliche Berechtigung an den Konten bestätigen, so wie sie ihr gegenüber deklariert wurde, jedoch nicht die Berechtigung an der Gesellschaft selbst, was Voraussetzung für ein ausnahmsweises Ein- treten gemäss bundesgerichtlicher Rechtsprechung wäre. Der Beschwer- deführer ist damit bezüglich das Konto Nr. 4 bei der Bank E. AG, lautend auf die F. Inc., nicht beschwerdelegitimiert. Ob der Beschwerdeführer im Übrigen seine Beschwerde nach abgelaufener Beschwerdefrist inhaltlich hätte ausdehnen können, ist mehr als zweifelhaft (vgl. Entscheid des Bun- desstrafgerichts RR.2008.161+163 vom 2. Februar 2009, E. 2.3; Nichtein- treten Entscheid des Bundesgerichts 1C.70/2009 vom 17. April 2009), kann in Anbetracht der ohnehin mangelhaften Legitimation aber letztlich offen bleiben.</w:t>
      </w:r>
    </w:p>
    <w:p>
      <w:r>
        <w:t>3. Mangels Beschwerdelegitimation des Beschwerdeführers in Bezug auf die Herausgabe der Bankunterlagen betreffend das Konto Nr. 4 der F. Inc., ist ihm das Recht auf Akteneinsicht in diesem Umfang zu versagen (Art. 80b Abs. 1 IRSG i.V.m. Art. 80h lit. b IRSG).</w:t>
      </w:r>
    </w:p>
    <w:p>
      <w:r>
        <w:t>4. 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w:t>
      </w:r>
    </w:p>
    <w:p>
      <w:r>
        <w:rPr>
          <w:b/>
        </w:rPr>
        <w:t>E. 16</w:t>
      </w:r>
    </w:p>
    <w:p>
      <w:r>
        <w:t>Juni 2000, E. 2a; 1A.182/2001 vom 26. März 2002, E. 4.2; 1A.234/2005 vom 31. Januar 2006, E. 3.2; 1A.270/2006 vom 13. März 2007, E. 3 ; Ent- scheide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Gesellschaften und über Konten getätigt worden sind, welche in die Ange- legenheit verwickelt sind (BGE 121 II 241 E. 3c S. 244; Urteile des Bun- desgerichts 1A.7/2007 vom 3. Juli 2007, E. 7.2; 1A.79/2005 vom 27. April 2005, E. 4.1).</w:t>
      </w:r>
    </w:p>
    <w:p>
      <w:r>
        <w:t>6.3 Die strittigen Bankunterlagen beziehen sich auf Konten bei der Bank E. AG, die auf die Beschwerdeführer lauten. Sie umfassen die Eröffnungsunterla- gen, Auszüge und Detailbelege betreffend Konto Nr. 1 und Nr. 5 (jeweils mit Unterkonten). Der erforderliche Sachzusammenhang zwischen dem ausländischen Strafverfahren und den herauszugebenden Bankunterlagen ist prima facie gegeben. Wie bereits oben erwähnt, wird dem Beschwerde- führer im ausländischen Verfahren vorgeworfen, während seiner Amtszeit als Generaldirektor des Ministeriums für Eigentumsumwandlung von 1993 bis Ende Juni 1995 sich der passiven Bestechung schuldig gemacht zu ha- ben und dann in den Jahren 1996 bis 1997 Korruptionsgelder erhalten und unter anderem auf ein Konto bei der Bank E. AG in der Schweiz transferiert zu haben. Die herauszugebenden Bankunterlagen belegen zunächst eine am 21. Oktober 1998 erfolgte Einzahlung von DEM 300'000.-- von einem Konto 6 bei der Bank E. AG auf das Konto Nr. 1 des Beschwerdeführers</w:t>
      </w:r>
    </w:p>
    <w:p>
      <w:r>
        <w:t>- 15 -</w:t>
      </w:r>
    </w:p>
    <w:p>
      <w:r>
        <w:t>(Verfahrensakten Urk. 3/4 pag. 2001 und 2002). Ferner sind ab diesem Konto des Beschwerdeführers am 2. November 2001 EUR 150'000.-- an einen R., der bereits in einem früheren Rechtshilfeverfahren (REC B- 4/2007/537) durch zahlreiche Geldbezüge in Erscheinung getreten sein soll (vgl. Verfahrensakten Urk. 3/4/22 S. 7), auf dessen Konto bei der Bank E. AG überwiesen worden (Verfahrensakten Urk. 3/4 pag. 3006 – 3008). Im Zeitraum zwischen Juli 2003 und November 2003 sind auf das Konto 2 des Beschwerdeführers Zahlungen von insgesamt CHF 90'000.-- eingegangen (Verfahrensakten Urk. 3/4 pag. 8003, 8004 und 12001 und 12017). Diese Zahlungen stammen jeweils von einer S. Ltd., die im früheren Rechtshilfe- verfahren (RE B-4/2005/209) bei der Überweisung von USD 1 Mio. auf ein Konto des Beschwerdeführers bei der Bank D. AG eine Rolle gespielt ha- ben soll (siehe Verfahrensakten Urk. 2/4/22/1 S. 7). Eine weitere grössere Einzahlung auf das besagte Konto des Beschwerdeführers im Umfang von CHF 50'000.-- erfolgte im Juni 2003 zu Lasten eines unbekannten Kontos bei der Bank T. plc in Genf (Verfahrensakten Urk. 3/4 pag. 8001 und 8002). Das Rechtshilfeersuchen vom 5. August 2008 zielt darauf ab, die bislang noch nicht geklärten Kontoexistenzen, Kontoberechtigungen und Voll- machtsverhältnisse sowie die strafrechtliche Relevanz der erfolgten Bezü- ge und Überweisungen bei der Bank E. AG zu eruieren, um letztlich zu er- mitteln, wohin die mutmasslichen Korruptionsgelder geflossen sind. Somit haben die polnischen Behörden ein Interesse daran zu erfahren, ob und in welchem Umfang deliktische Gelder auf diese Konten geflossen sind und welches allenfalls die weiteren Begünstigten dieser Gelder waren. Diese In- formationen können sich die polnischen Strafverfolgungsbehörden vor al- lem über die Edition der verlangten Bankunterlagen verschaffen. Von einer „fishing expedition“ kann keine Rede sein.</w:t>
      </w:r>
    </w:p>
    <w:p>
      <w:r>
        <w:t>Soweit der Beschwerdeführer in zeitlicher Hinsicht geltend macht, die Bankunterlagen dürften nicht bereits ab dem Jahre 1993 herausgegeben werden, greift diese Rüge von vornherein ins Leere. Die Beschwerdegeg- nerin hat in der Schlussverfügung vom 17. September 2010 in differenzier- ter Weise die Herausgabe der Bankunterlagen ab dem 21. Oktober 1998 bzw. 1. Juli 2003 verfügt (Verfahrensakten Urk. 2/4/22/1 S. 12). Ferner ist darauf hinzuweisen, dass der Deliktszeitraum die Zeitspanne der zu erhe- benden Kontobewegungen nicht einfach eingrenzt. So können Unterlagen über Vermögensbewegungen nach dem angeblichen Tatzeitpunkt ohne weiteres relevant sein, gerade wenn es für den erkennenden Richter darum geht, die Frage der Verwendung der inkriminierten Gelder zu beurteilen (vgl. etwa Entscheid des Bundesstrafgerichts RR.2009.39-47 vom 22. Sep- tember 2009, E. 11.2). Vorliegend rechtfertigt es sich deshalb, die Bankun-</w:t>
      </w:r>
    </w:p>
    <w:p>
      <w:r>
        <w:t>- 16 -</w:t>
      </w:r>
    </w:p>
    <w:p>
      <w:r>
        <w:t>terlagen bis zum jeweiligen Saldierungszeitpunkt der Konten herauszuge- ben. Ob die herauszugebenden Unterlagen für das ausländische Verfahren tat- sächlich relevant sind, hat nicht die ersuchte Behörde, sondern die Beru- fungsstaatsanwaltschaft von Katowice zu entscheiden. In diesem Zusam- menhang ist darauf hinzuweisen, dass die im Rechtshilfeverfahren übermit- telten Auskünfte und Unterlagen durchaus auch der Entlastung des Be- schuldigten dienen können (vgl. BGE 129 II 462, E. 5.5.; Urteile des Bun- desgerichts 1A.182/2006 vom 9. August 2007, E. 2.3 und 3.2; 1A.52/2007 vom 20. Juli 2007, E. 2.1.3). Die Prüfung der ersuchten Behörde be- schränkt sich auf den Zusammenhang, welcher zwischen den herauszuge- benden Unterlagen und der Sachdarstellung im Rechtshilfeersuchen be- stehen muss. Insofern steht der Herausgabe der in der angefochtenen Schlussverfügung genannten Dokumente nichts entgegen. Unbeachtlich ist die Rüge des Beschwerdeführers, wonach Transaktionen in den Unterla- gen figurierten bzw. es sich um Vermögenswerte handle, welche mit den inkriminierten Vorgängen nichts zu tun hätten. Es handelt sich bei diesem Einwand um eine unzulässige Gegenbehauptung, auf die schon deshalb nicht einzugehen ist, weil deren Prüfung durch die ersuchte Behörde gar nicht möglich ist (vgl. supra 5.2). Diese Frage wird u.a. gerade Gegenstand des polnischen Strafverfahrens bilden müssen. 7. Der Beschwerdeführer wendet ferner ein, dass ihn Bezug auf dem ihm zur Hauptsache vorgeworfenen Straftatbestand der passiven Bestechung im Sinne von Art. 322quater StGB die Verfolgungsverjährung nach schweizeri- schem Recht eingetreten sei, weshalb gestützt auf Art. 5 Abs. 1 lit. c IRSG dem polnischen Rechtshilfeersuchen keine Folge geleistet werden könne (act. 1 S. 17 f.).</w:t>
      </w:r>
    </w:p>
    <w:p>
      <w:r>
        <w:t>Gemäss Art. 5 Abs. 1 IRSG ist einem Rechtshilfeersuchen nicht zu ent- sprechen, wenn seine Ausführung Zwangsmassnahmen erfordert und die Strafverfolgung oder die Vollstreckung nach schweizerischem Recht wegen absoluter Verjährung ausgeschlossen wäre. Massgeblich wäre mithin al- lein, ob die Tatbestände nach schweizerischem Recht verjährt wären. Das EUeR schweigt sich darüber aus, wie es sich mit der Rechtshilfegewährung bei Verjährung der Strafverfolgung oder des Strafvollzuges verhält. Das Fehlen einer ausdrücklichen Regelung im EUeR wird gemäss höchstrich- terlicher Rechtsprechung als qualifiziertes Schweigen interpretiert, womit die Frage der Verjährung im Rechtshilfeverkehr zwischen Vertragsstaaten des EUeR nicht zu prüfen ist (BGE 117 Ib 53 E. 2b S. 57). Im Verkehr mit Vertragsstaaten geht das EUeR Art. 5 Abs. 1 IRSG vor (ZIMMERMANN,</w:t>
      </w:r>
    </w:p>
    <w:p>
      <w:r>
        <w:t>- 17 -</w:t>
      </w:r>
    </w:p>
    <w:p>
      <w:r>
        <w:t>a.a.O., S. 620 f. N. 669 mit Verweis auf die Praxis). Die Frage des Eintritts der Strafverfolgungsverjährung ist somit materiell nicht zu prüfen.</w:t>
      </w:r>
    </w:p>
    <w:p>
      <w:r>
        <w:t>8. Soweit der Beschwerdeführer sodann vorbringt, das polnische Rechtshilfe- ersuchen sei fiskalisch motiviert, ist darauf hinzuweisen, dass die Be- schwerdegegnerin die angefochtene Schlussverfügung mit dem üblichen Spezialitätsvorbehalt versehen hat, wonach die in der Schweiz gewonne- nen Erkenntnisse in Verfahren wegen Taten, bei denen Rechtshilfe nicht zulässig ist, weder für Ermittlungen benützt noch als Beweismittel verwen- det werden dürfen (Verfahrensakten Urk. 2/4/22/1 S. 13 f.). Es wurden da- bei im Einzelnen das Verwertungsverbot erläutert und u.a. die nach schweizerischem Recht als Fiskaldelikte geltenden Taten festgehalten. Die Einhaltung dieses Spezialitätsvorbehaltes durch Staaten, welche – wie vor- liegend – mit der Schweiz durch einen Rechtshilfevertrag verbunden sind, wird nach dem völkerrechtlichen Vertrauensprinzip als selbstverständlich vorausgesetzt, ohne dass die Einholung einer ausdrücklichen Zusicherung notwendig wäre (vgl. Urteil des Bundesgerichts 1A.105/2001 vom 8. August 2001, E. 2e; BGE 117 Ib 64 E. 5f, je m.w.H.). Für eine gegenteilige An- nahme bestehen konkret keine Anhaltspunkte. Unter diesem Titel liegt demnach kein Anlass zur Verweigerung der Herausgabe der fraglichen Bankdokumente vor.</w:t>
      </w:r>
    </w:p>
    <w:p>
      <w:r>
        <w:t>9. Aus den gleichen, wie eben unter Ziff. 8 dargelegten, Gründen ist schliess- lich auch der vom Beschwerdeführer subeventualiter gestellte Antrag, sämtliche herauszugebenden Dokumente mit einer zusätzlichen Sicherung (Zeichnung durch die Beschwerdegegnerin) zur Einhaltung des Speziali- tätsvorbehaltes zu versehen (act. 1 S. 34), ohne weiteres abzuweisen.</w:t>
      </w:r>
    </w:p>
    <w:p>
      <w:r>
        <w:t>10. Unbehelflich ist schliesslich die Rüge des Beschwerdeführers, wonach die Herausgabe der Bankunterlagen seine Persönlichkeitsrechte verletzen würde (act. 2. 1. 33). Wie oben festgestellt, ist die Herausgabe der Bankun- terlagen mit dem Verhältnismässigkeitsprinzip vereinbar, und im Bereich der internationalen Rechtshilfe in Strafsachen bietet der Anspruch auf Pri- vatsphäre (Art. 13 BV) keinen über das Verhältnismässigkeitsprinzip hi- nausgehenden Rechtsschutz (Urteil des Bundesgerichts 1A.331/2005 vom 24. Januar 2006, E. 2.1; Entscheid des Bundesstrafgerichts RR.2009.139 vom 6. Oktober 2009, E. 6).</w:t>
      </w:r>
    </w:p>
    <w:p>
      <w:r>
        <w:t>11. Bei diesem Ausgang des Verfahrens wird der Beschwerdeführer kosten- pflichtig (Art. 63 Abs. 1 VwVG i.V.m. Art. 39 Abs. 2 lit. b StBOG). Für die Berechnung der Gerichtsgebühren gelangt das Reglement des Bundes- strafgerichts vom 31. August 2010 über die Kosten, Gebühren und Ent-</w:t>
      </w:r>
    </w:p>
    <w:p>
      <w:r>
        <w:t>- 18 -</w:t>
      </w:r>
    </w:p>
    <w:p>
      <w:r>
        <w:t>schädigungen in Bundesstrafverfahren (BStKR; SR 173.713.162) zur An- wendung (Art. 53 Abs. 2 lit. a, Art. 73 StBOG i.V.m. Art. 65 Abs. 5 VwVG sowie Art. 22 Abs. 3 BStKR). Es rechtfertigt sich vorliegend, die Gebühr auf Fr. 3’000.-- anzusetzen, unter Anrechnung des geleisteten Kostenvor- schusses von Fr. 4'000.-- (Art. 5 und 8 Abs. 3 lit. a BStKR). Die Bundes- strafgerichtskasse ist anzuweisen, den Beschwerdeführern den Restbetrag von Fr. 1'000.-- zurückzuerstatten.</w:t>
      </w:r>
    </w:p>
    <w:p>
      <w:r>
        <w:t>- 19 -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